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284919.xml.htm"/>
      <w:bookmarkStart w:id="1" w:name="kswkform4_17852849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Nocella Andrew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 O. BOX 66100 HDQLD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21,404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236,749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9,594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118.27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227,155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120.48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222,955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UAL common stock acquired upon the settlement of performance-based restricted stock units ("PB RSUs") granted to the reporting person in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represents the withholding of shares to pay tax withholding obligations associated with the settlement of the PB RSU awards referenced in footnote 1, above.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Cotton for Andrew P. Nocella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4824" TargetMode="External"/><Relationship Id="rId5" Type="http://schemas.openxmlformats.org/officeDocument/2006/relationships/hyperlink" Target="http://www.sec.gov/cgi-bin/browse-edgar?action=getcompany&amp;CIK=00001005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3471</Characters>
  <CharactersWithSpaces>4027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