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15"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300" w:after="30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October 20, 2026</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AIRLINES HOLDINGS, INC.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AIRLINES,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207" w:type="dxa"/>
        <w:jc w:val="center"/>
        <w:tblInd w:w="0" w:type="dxa"/>
        <w:tblLayout w:type="fixed"/>
        <w:tblCellMar>
          <w:top w:w="28" w:type="dxa"/>
          <w:left w:w="28" w:type="dxa"/>
          <w:bottom w:w="28" w:type="dxa"/>
          <w:right w:w="28" w:type="dxa"/>
        </w:tblCellMar>
      </w:tblPr>
      <w:tblGrid>
        <w:gridCol w:w="812"/>
        <w:gridCol w:w="713"/>
        <w:gridCol w:w="724"/>
        <w:gridCol w:w="109"/>
        <w:gridCol w:w="109"/>
        <w:gridCol w:w="109"/>
        <w:gridCol w:w="762"/>
        <w:gridCol w:w="762"/>
        <w:gridCol w:w="770"/>
        <w:gridCol w:w="109"/>
        <w:gridCol w:w="109"/>
        <w:gridCol w:w="109"/>
        <w:gridCol w:w="587"/>
        <w:gridCol w:w="587"/>
        <w:gridCol w:w="836"/>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001-06033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36-2675207</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001-10323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74-2099724</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Number)</w:t>
            </w:r>
          </w:p>
        </w:tc>
      </w:tr>
    </w:tbl>
    <w:tbl>
      <w:tblPr>
        <w:tblW w:w="5842" w:type="dxa"/>
        <w:jc w:val="center"/>
        <w:tblInd w:w="0" w:type="dxa"/>
        <w:tblLayout w:type="fixed"/>
        <w:tblCellMar>
          <w:top w:w="28" w:type="dxa"/>
          <w:left w:w="28" w:type="dxa"/>
          <w:bottom w:w="28" w:type="dxa"/>
          <w:right w:w="28" w:type="dxa"/>
        </w:tblCellMar>
      </w:tblPr>
      <w:tblGrid>
        <w:gridCol w:w="1194"/>
        <w:gridCol w:w="1048"/>
        <w:gridCol w:w="1057"/>
        <w:gridCol w:w="284"/>
        <w:gridCol w:w="284"/>
        <w:gridCol w:w="286"/>
        <w:gridCol w:w="109"/>
        <w:gridCol w:w="109"/>
        <w:gridCol w:w="109"/>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233 S. Wacker Drive,</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Chicago,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60606</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233 S. Wacker Drive,</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Chicago,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60606</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(872) 825-4000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(872) 825-4000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 xml:space="preserve">Written communications pursuant to Rule 425 under the Securities Act (17 CFR 230.425) </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 xml:space="preserve">Soliciting material pursuant to Rule 14a-12 under the Exchange Act (17 CFR 240.14a-12) </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 xml:space="preserve">Pre-commencement communications pursuant to Rule 14d-2(b) under the Exchange Act (17 CFR 240.14d-2(b)) </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672" w:type="dxa"/>
        <w:jc w:val="left"/>
        <w:tblInd w:w="0" w:type="dxa"/>
        <w:tblLayout w:type="fixed"/>
        <w:tblCellMar>
          <w:top w:w="28" w:type="dxa"/>
          <w:left w:w="28" w:type="dxa"/>
          <w:bottom w:w="28" w:type="dxa"/>
          <w:right w:w="28" w:type="dxa"/>
        </w:tblCellMar>
      </w:tblPr>
      <w:tblGrid>
        <w:gridCol w:w="668"/>
        <w:gridCol w:w="587"/>
        <w:gridCol w:w="589"/>
        <w:gridCol w:w="109"/>
        <w:gridCol w:w="109"/>
        <w:gridCol w:w="109"/>
        <w:gridCol w:w="643"/>
        <w:gridCol w:w="643"/>
        <w:gridCol w:w="648"/>
        <w:gridCol w:w="109"/>
        <w:gridCol w:w="109"/>
        <w:gridCol w:w="109"/>
        <w:gridCol w:w="359"/>
        <w:gridCol w:w="359"/>
        <w:gridCol w:w="361"/>
        <w:gridCol w:w="109"/>
        <w:gridCol w:w="109"/>
        <w:gridCol w:w="109"/>
        <w:gridCol w:w="827"/>
        <w:gridCol w:w="827"/>
        <w:gridCol w:w="1180"/>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Stock Market LLC</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Stock Market LLC</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Airlines,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None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On October 20, 2026, United Airlines Holdings, Inc. ("UAL"), the holding company whose subsidiary is United Airlines, Inc. ("United," and together with UAL, the "Company"), issued a press release (the "Earnings Press Release") announcing the financial results of the Company for the third quarter of 2026. A copy of the Earnings Press Release is furnished pursuant to this Item 2.02 as Exhibit 99.1 to this Current Report on Form 8-K and incorporated by reference herein in its entirety.</w:t>
      </w: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On October 20, 2026, the Company posted on its investor relations website at ir.united.com an investor update (the "Investor Update") providing additional information on the Company's business outlook (including certain financial and operational guidance). A copy of the Investor Update is furnished pursuant to this Item 7.01 as Exhibit 99.2 to this Current Report on Form 8-K and incorporated by reference herein in its entirety. The Investor Update should be read in conjunction with the Earnings Press Release. The Company reserves the right to discontinue availability of the Investor Update from its website at any time.</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Pursuant to General Instruction B.2. to Form 8-K, the information set forth in this Current Report on Form 8-K, including Exhibits 99.1 and 99.2, shall not be deemed "filed" for purposes of Section 18 of the Securities Exchange Act of 1934, as amended (the "Exchange Act"), or otherwise subject to the liabilities thereof, nor shall it be incorporated by reference into future filings by the Company under the Exchange Act or under the Securities Act of 1933, as amended, except to the extent specifically provided in any such filing. Additionally, the submission of the information set forth in this Item 7.01 is not deemed an admission as to the materiality of any information in this Current Report on Form 8-K that is required to be disclosed solely by Regulation FD.</w:t>
      </w: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7482"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1954"/>
        <w:gridCol w:w="1954"/>
        <w:gridCol w:w="276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erx09302026xex991.htm">
              <w:r>
                <w:rPr>
                  <w:rStyle w:val="InternetLink"/>
                  <w:rFonts w:ascii="Times New Roman;serif" w:hAnsi="Times New Roman;serif"/>
                  <w:b w:val="false"/>
                  <w:color w:val="0000FF"/>
                  <w:sz w:val="20"/>
                  <w:u w:val="single"/>
                </w:rPr>
                <w:t>Press Release issued by United Airlines Holdings, Inc. dated October 20, 2026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ual_erx09302026xex992.htm">
              <w:r>
                <w:rPr>
                  <w:rStyle w:val="InternetLink"/>
                  <w:rFonts w:ascii="Times New Roman;serif" w:hAnsi="Times New Roman;serif"/>
                  <w:b w:val="false"/>
                  <w:color w:val="0000FF"/>
                  <w:sz w:val="20"/>
                  <w:u w:val="single"/>
                </w:rPr>
                <w:t>Investor Update issued by United Airlines Holdings, Inc. dated October 20, 2026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18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225" w:after="283"/>
        <w:jc w:val="center"/>
        <w:rPr/>
      </w:pPr>
      <w:r>
        <w:rPr/>
      </w:r>
    </w:p>
    <w:p>
      <w:pPr>
        <w:pStyle w:val="TextBody"/>
        <w:bidi w:val="0"/>
        <w:spacing w:before="225" w:after="283"/>
        <w:jc w:val="center"/>
        <w:rPr/>
      </w:pPr>
      <w:r>
        <w:rPr/>
      </w:r>
    </w:p>
    <w:p>
      <w:pPr>
        <w:pStyle w:val="TextBody"/>
        <w:bidi w:val="0"/>
        <w:spacing w:lineRule="auto" w:line="288" w:before="225"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043" w:type="dxa"/>
        <w:jc w:val="right"/>
        <w:tblInd w:w="0" w:type="dxa"/>
        <w:tblLayout w:type="fixed"/>
        <w:tblCellMar>
          <w:top w:w="28" w:type="dxa"/>
          <w:left w:w="28" w:type="dxa"/>
          <w:bottom w:w="28" w:type="dxa"/>
          <w:right w:w="28" w:type="dxa"/>
        </w:tblCellMar>
      </w:tblPr>
      <w:tblGrid>
        <w:gridCol w:w="422"/>
        <w:gridCol w:w="371"/>
        <w:gridCol w:w="371"/>
        <w:gridCol w:w="371"/>
        <w:gridCol w:w="371"/>
        <w:gridCol w:w="371"/>
        <w:gridCol w:w="1450"/>
        <w:gridCol w:w="1450"/>
        <w:gridCol w:w="1494"/>
        <w:gridCol w:w="109"/>
        <w:gridCol w:w="109"/>
        <w:gridCol w:w="154"/>
      </w:tblGrid>
      <w:tr>
        <w:trPr/>
        <w:tc>
          <w:tcPr>
            <w:tcW w:w="42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AIRLINES HOLDINGS,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AIRLINES,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Leskinen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Michael Leskinen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October 20,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6533" w:type="dxa"/>
        <w:jc w:val="center"/>
        <w:tblInd w:w="0" w:type="dxa"/>
        <w:tblLayout w:type="fixed"/>
        <w:tblCellMar>
          <w:top w:w="28" w:type="dxa"/>
          <w:left w:w="28" w:type="dxa"/>
          <w:bottom w:w="28" w:type="dxa"/>
          <w:right w:w="28" w:type="dxa"/>
        </w:tblCellMar>
      </w:tblPr>
      <w:tblGrid>
        <w:gridCol w:w="1038"/>
        <w:gridCol w:w="913"/>
        <w:gridCol w:w="914"/>
        <w:gridCol w:w="109"/>
        <w:gridCol w:w="109"/>
        <w:gridCol w:w="109"/>
        <w:gridCol w:w="978"/>
        <w:gridCol w:w="978"/>
        <w:gridCol w:w="1385"/>
      </w:tblGrid>
      <w:tr>
        <w:trPr/>
        <w:tc>
          <w:tcPr>
            <w:tcW w:w="103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News Release</w:t>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United Airlines</w:t>
            </w:r>
          </w:p>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Worldwide Media Relations</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872.825.8640</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media.relations@united.com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38350" cy="838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38350" cy="838200"/>
                          </a:xfrm>
                          <a:prstGeom prst="rect">
                            <a:avLst/>
                          </a:prstGeom>
                        </pic:spPr>
                      </pic:pic>
                    </a:graphicData>
                  </a:graphic>
                </wp:inline>
              </w:drawing>
            </w:r>
          </w:p>
        </w:tc>
      </w:tr>
    </w:tbl>
    <w:tbl>
      <w:tblPr>
        <w:tblW w:w="10205" w:type="dxa"/>
        <w:jc w:val="center"/>
        <w:tblInd w:w="0" w:type="dxa"/>
        <w:tblLayout w:type="fixed"/>
        <w:tblCellMar>
          <w:top w:w="28" w:type="dxa"/>
          <w:left w:w="28" w:type="dxa"/>
          <w:bottom w:w="28" w:type="dxa"/>
          <w:right w:w="28" w:type="dxa"/>
        </w:tblCellMar>
      </w:tblPr>
      <w:tblGrid>
        <w:gridCol w:w="3267"/>
        <w:gridCol w:w="2872"/>
        <w:gridCol w:w="4066"/>
      </w:tblGrid>
      <w:tr>
        <w:trPr/>
        <w:tc>
          <w:tcPr>
            <w:tcW w:w="32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sans-serif" w:hAnsi="sans-serif"/>
                <w:b/>
                <w:color w:val="000000"/>
                <w:sz w:val="36"/>
              </w:rPr>
            </w:pPr>
            <w:r>
              <w:rPr>
                <w:rFonts w:ascii="sans-serif" w:hAnsi="sans-serif"/>
                <w:b/>
                <w:color w:val="000000"/>
                <w:sz w:val="36"/>
              </w:rPr>
              <w:t>United Delivers Record 17% Revenue Growth in Q3, and Expects Record Q4 Revenue Growth, Underpinned by Accelerating Customer Investments</w:t>
            </w:r>
          </w:p>
        </w:tc>
      </w:tr>
    </w:tbl>
    <w:p>
      <w:pPr>
        <w:pStyle w:val="TextBody"/>
        <w:bidi w:val="0"/>
        <w:spacing w:before="0" w:after="0"/>
        <w:jc w:val="center"/>
        <w:rPr/>
      </w:pPr>
      <w:r>
        <w:rPr/>
      </w:r>
    </w:p>
    <w:p>
      <w:pPr>
        <w:pStyle w:val="TextBody"/>
        <w:bidi w:val="0"/>
        <w:spacing w:lineRule="auto" w:line="268" w:before="0" w:after="0"/>
        <w:jc w:val="center"/>
        <w:rPr/>
      </w:pPr>
      <w:r>
        <w:rPr>
          <w:rFonts w:ascii="sans-serif" w:hAnsi="sans-serif"/>
          <w:b w:val="false"/>
          <w:i/>
          <w:color w:val="000000"/>
          <w:sz w:val="22"/>
        </w:rPr>
        <w:t>Q3 diluted earnings per share were $3.14; Q3 adjusted diluted earnings per share</w:t>
      </w:r>
      <w:r>
        <w:rPr>
          <w:rFonts w:ascii="sans-serif" w:hAnsi="sans-serif"/>
          <w:b w:val="false"/>
          <w:i/>
          <w:color w:val="000000"/>
          <w:sz w:val="14"/>
        </w:rPr>
        <w:t>1</w:t>
      </w:r>
      <w:r>
        <w:rPr>
          <w:color w:val="000000"/>
        </w:rPr>
        <w:t xml:space="preserve"> </w:t>
      </w:r>
      <w:r>
        <w:rPr>
          <w:rFonts w:ascii="sans-serif" w:hAnsi="sans-serif"/>
          <w:b w:val="false"/>
          <w:i/>
          <w:color w:val="000000"/>
          <w:sz w:val="22"/>
        </w:rPr>
        <w:t>were $2.54, within guidance despite a 62% increase in fuel expense</w:t>
      </w:r>
    </w:p>
    <w:p>
      <w:pPr>
        <w:pStyle w:val="TextBody"/>
        <w:bidi w:val="0"/>
        <w:spacing w:before="0" w:after="0"/>
        <w:jc w:val="center"/>
        <w:rPr/>
      </w:pPr>
      <w:r>
        <w:rPr/>
      </w:r>
    </w:p>
    <w:p>
      <w:pPr>
        <w:pStyle w:val="TextBody"/>
        <w:bidi w:val="0"/>
        <w:spacing w:lineRule="auto" w:line="268" w:before="0" w:after="0"/>
        <w:jc w:val="center"/>
        <w:rPr>
          <w:rFonts w:ascii="sans-serif" w:hAnsi="sans-serif"/>
          <w:b w:val="false"/>
          <w:i/>
          <w:color w:val="000000"/>
          <w:sz w:val="22"/>
        </w:rPr>
      </w:pPr>
      <w:r>
        <w:rPr>
          <w:rFonts w:ascii="sans-serif" w:hAnsi="sans-serif"/>
          <w:b w:val="false"/>
          <w:i/>
          <w:color w:val="000000"/>
          <w:sz w:val="22"/>
        </w:rPr>
        <w:t>Q3 total operating revenue of $17.9 billion rose 17% year-over-year and set an all-time record; Q3 total revenue per available seat mile up 16% year-over-year, representing best quarterly unit revenue growth since the pandemic</w:t>
      </w:r>
    </w:p>
    <w:p>
      <w:pPr>
        <w:pStyle w:val="TextBody"/>
        <w:bidi w:val="0"/>
        <w:spacing w:before="0" w:after="0"/>
        <w:jc w:val="left"/>
        <w:rPr/>
      </w:pPr>
      <w:r>
        <w:rPr/>
      </w:r>
    </w:p>
    <w:p>
      <w:pPr>
        <w:pStyle w:val="TextBody"/>
        <w:bidi w:val="0"/>
        <w:spacing w:lineRule="auto" w:line="268" w:before="0" w:after="0"/>
        <w:jc w:val="center"/>
        <w:rPr>
          <w:rFonts w:ascii="sans-serif" w:hAnsi="sans-serif"/>
          <w:b w:val="false"/>
          <w:i/>
          <w:color w:val="000000"/>
          <w:sz w:val="22"/>
        </w:rPr>
      </w:pPr>
      <w:r>
        <w:rPr>
          <w:rFonts w:ascii="sans-serif" w:hAnsi="sans-serif"/>
          <w:b w:val="false"/>
          <w:i/>
          <w:color w:val="000000"/>
          <w:sz w:val="22"/>
        </w:rPr>
        <w:t>United expects Q4 total operating revenue growth to accelerate versus Q3 and set another record with an over 20% year-over-year increase</w:t>
      </w:r>
    </w:p>
    <w:p>
      <w:pPr>
        <w:pStyle w:val="TextBody"/>
        <w:bidi w:val="0"/>
        <w:spacing w:before="0" w:after="0"/>
        <w:jc w:val="center"/>
        <w:rPr/>
      </w:pPr>
      <w:r>
        <w:rPr/>
      </w:r>
    </w:p>
    <w:p>
      <w:pPr>
        <w:pStyle w:val="TextBody"/>
        <w:bidi w:val="0"/>
        <w:spacing w:lineRule="auto" w:line="268" w:before="0" w:after="0"/>
        <w:jc w:val="center"/>
        <w:rPr>
          <w:rFonts w:ascii="sans-serif" w:hAnsi="sans-serif"/>
          <w:b w:val="false"/>
          <w:i/>
          <w:color w:val="000000"/>
          <w:sz w:val="22"/>
        </w:rPr>
      </w:pPr>
      <w:r>
        <w:rPr>
          <w:rFonts w:ascii="sans-serif" w:hAnsi="sans-serif"/>
          <w:b w:val="false"/>
          <w:i/>
          <w:color w:val="000000"/>
          <w:sz w:val="22"/>
        </w:rPr>
        <w:t>Starlink Wi-Fi emerges as a meaningful differentiator, installed on more than 640 aircraft. Starlink is now available on about half of all United flights, including regional flights. Availability is expected to reach 61% by the end of 2026, 87% by June 1, and available fleet-wide by the end of 2027</w:t>
      </w:r>
    </w:p>
    <w:p>
      <w:pPr>
        <w:pStyle w:val="TextBody"/>
        <w:bidi w:val="0"/>
        <w:spacing w:before="0" w:after="0"/>
        <w:jc w:val="center"/>
        <w:rPr/>
      </w:pPr>
      <w:r>
        <w:rPr/>
      </w:r>
    </w:p>
    <w:p>
      <w:pPr>
        <w:pStyle w:val="TextBody"/>
        <w:bidi w:val="0"/>
        <w:spacing w:lineRule="auto" w:line="268" w:before="0" w:after="0"/>
        <w:jc w:val="center"/>
        <w:rPr>
          <w:rFonts w:ascii="sans-serif" w:hAnsi="sans-serif"/>
          <w:b w:val="false"/>
          <w:i/>
          <w:color w:val="000000"/>
          <w:sz w:val="22"/>
        </w:rPr>
      </w:pPr>
      <w:r>
        <w:rPr>
          <w:rFonts w:ascii="sans-serif" w:hAnsi="sans-serif"/>
          <w:b w:val="false"/>
          <w:i/>
          <w:color w:val="000000"/>
          <w:sz w:val="22"/>
        </w:rPr>
        <w:t>United's newest aircraft, the Airbus A321XLR, named "Born to Explore," debuted with domestic service in September</w:t>
      </w:r>
    </w:p>
    <w:p>
      <w:pPr>
        <w:pStyle w:val="TextBody"/>
        <w:bidi w:val="0"/>
        <w:spacing w:before="0" w:after="0"/>
        <w:jc w:val="center"/>
        <w:rPr/>
      </w:pPr>
      <w:r>
        <w:rPr/>
      </w:r>
    </w:p>
    <w:p>
      <w:pPr>
        <w:pStyle w:val="TextBody"/>
        <w:bidi w:val="0"/>
        <w:spacing w:lineRule="auto" w:line="268" w:before="0" w:after="0"/>
        <w:jc w:val="center"/>
        <w:rPr>
          <w:rFonts w:ascii="sans-serif" w:hAnsi="sans-serif"/>
          <w:b w:val="false"/>
          <w:i/>
          <w:color w:val="000000"/>
          <w:sz w:val="22"/>
        </w:rPr>
      </w:pPr>
      <w:r>
        <w:rPr>
          <w:rFonts w:ascii="sans-serif" w:hAnsi="sans-serif"/>
          <w:b w:val="false"/>
          <w:i/>
          <w:color w:val="000000"/>
          <w:sz w:val="22"/>
        </w:rPr>
        <w:t>United's operational momentum continued, posting the lowest seat cancellation rate among the three largest U.S. airlines during the quarter. United carried a record 49.5 million customers during Q3, recording six of its 10 highest-volume travel days for the year so far</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417" w:before="0" w:after="0"/>
        <w:ind w:left="0" w:right="0" w:firstLine="720"/>
        <w:jc w:val="left"/>
        <w:rPr/>
      </w:pPr>
      <w:r>
        <w:rPr>
          <w:rFonts w:ascii="sans-serif" w:hAnsi="sans-serif"/>
          <w:b/>
          <w:color w:val="000000"/>
          <w:sz w:val="22"/>
        </w:rPr>
        <w:t>CHICAGO, October 20, 2026</w:t>
      </w:r>
      <w:r>
        <w:rPr>
          <w:color w:val="000000"/>
        </w:rPr>
        <w:t xml:space="preserve"> – </w:t>
      </w:r>
      <w:r>
        <w:rPr>
          <w:rFonts w:ascii="sans-serif" w:hAnsi="sans-serif"/>
          <w:b w:val="false"/>
          <w:color w:val="000000"/>
          <w:sz w:val="22"/>
        </w:rPr>
        <w:t>United Airlines (UAL) today reported pre-tax earnings of $1.3 billion, with a pre-tax margin of 7.3%. Adjusted pre-tax earnings</w:t>
      </w:r>
      <w:r>
        <w:rPr>
          <w:rFonts w:ascii="sans-serif" w:hAnsi="sans-serif"/>
          <w:b w:val="false"/>
          <w:color w:val="000000"/>
          <w:sz w:val="14"/>
        </w:rPr>
        <w:t>1</w:t>
      </w:r>
      <w:r>
        <w:rPr>
          <w:color w:val="000000"/>
        </w:rPr>
        <w:t xml:space="preserve"> </w:t>
      </w:r>
      <w:r>
        <w:rPr>
          <w:rFonts w:ascii="sans-serif" w:hAnsi="sans-serif"/>
          <w:b w:val="false"/>
          <w:color w:val="000000"/>
          <w:sz w:val="22"/>
        </w:rPr>
        <w:t>were $1.1 billion, with an adjusted pre-tax margin</w:t>
      </w:r>
      <w:r>
        <w:rPr>
          <w:rFonts w:ascii="sans-serif" w:hAnsi="sans-serif"/>
          <w:b w:val="false"/>
          <w:color w:val="000000"/>
          <w:sz w:val="14"/>
        </w:rPr>
        <w:t>1</w:t>
      </w:r>
      <w:r>
        <w:rPr>
          <w:color w:val="000000"/>
        </w:rPr>
        <w:t xml:space="preserve"> </w:t>
      </w:r>
      <w:r>
        <w:rPr>
          <w:rFonts w:ascii="sans-serif" w:hAnsi="sans-serif"/>
          <w:b w:val="false"/>
          <w:color w:val="000000"/>
          <w:sz w:val="22"/>
        </w:rPr>
        <w:t xml:space="preserve">of 6.2%. Fuel expense was up $1.8 billion compared to third-quarter 2025 as jet fuel prices remained volatile. </w:t>
      </w:r>
    </w:p>
    <w:p>
      <w:pPr>
        <w:pStyle w:val="TextBody"/>
        <w:bidi w:val="0"/>
        <w:spacing w:lineRule="auto" w:line="417" w:before="0" w:after="0"/>
        <w:ind w:left="0" w:right="0" w:firstLine="720"/>
        <w:jc w:val="left"/>
        <w:rPr>
          <w:rFonts w:ascii="sans-serif" w:hAnsi="sans-serif"/>
          <w:b w:val="false"/>
          <w:color w:val="000000"/>
          <w:sz w:val="22"/>
        </w:rPr>
      </w:pPr>
      <w:r>
        <w:rPr>
          <w:rFonts w:ascii="sans-serif" w:hAnsi="sans-serif"/>
          <w:b w:val="false"/>
          <w:color w:val="000000"/>
          <w:sz w:val="22"/>
        </w:rPr>
        <w:t xml:space="preserve">"Our employees met the challenge of our ever-changing environment and our results prove the resilience of focusing on building a brand-loyal airline for customers," said United CEO Scott Kirby. </w:t>
      </w:r>
    </w:p>
    <w:p>
      <w:pPr>
        <w:pStyle w:val="TextBody"/>
        <w:bidi w:val="0"/>
        <w:spacing w:lineRule="auto" w:line="417" w:before="0" w:after="0"/>
        <w:ind w:left="0" w:right="0" w:firstLine="720"/>
        <w:jc w:val="left"/>
        <w:rPr>
          <w:rFonts w:ascii="sans-serif" w:hAnsi="sans-serif"/>
          <w:b w:val="false"/>
          <w:color w:val="000000"/>
          <w:sz w:val="22"/>
        </w:rPr>
      </w:pPr>
      <w:r>
        <w:rPr>
          <w:rFonts w:ascii="sans-serif" w:hAnsi="sans-serif"/>
          <w:b w:val="false"/>
          <w:color w:val="000000"/>
          <w:sz w:val="22"/>
        </w:rPr>
        <w:t>United continued to see broad-based strength across all revenue streams: compared to the third quarter of 2025, Premium revenue was up 17%, revenue from Basic Economy was up 16%, loyalty revenue was up 17% and cargo revenue was up 23%. Contracted business revenue was up 26% during the quarter compared to the third quarter of 2025, showing strong and resilient close-in demand across all industries. Economy cabin revenue grew for the third consecutive quarter, with unit revenue up 17% year-over-year.</w:t>
      </w:r>
    </w:p>
    <w:p>
      <w:pPr>
        <w:pStyle w:val="TextBody"/>
        <w:bidi w:val="0"/>
        <w:spacing w:lineRule="auto" w:line="417" w:before="0" w:after="0"/>
        <w:ind w:left="0" w:right="0" w:firstLine="720"/>
        <w:jc w:val="left"/>
        <w:rPr>
          <w:rFonts w:ascii="sans-serif" w:hAnsi="sans-serif"/>
          <w:b w:val="false"/>
          <w:color w:val="000000"/>
          <w:sz w:val="22"/>
        </w:rPr>
      </w:pPr>
      <w:r>
        <w:rPr>
          <w:rFonts w:ascii="sans-serif" w:hAnsi="sans-serif"/>
          <w:b w:val="false"/>
          <w:color w:val="000000"/>
          <w:sz w:val="22"/>
        </w:rPr>
        <w:t xml:space="preserve">United now offers Starlink on more than 640 aircraft, equipping approximately three more aircraft per day. United offers more daily Starlink flights now than the entire U.S. industry, further increasing United's </w:t>
      </w:r>
    </w:p>
    <w:p>
      <w:pPr>
        <w:pStyle w:val="TextBody"/>
        <w:bidi w:val="0"/>
        <w:spacing w:lineRule="auto" w:line="268"/>
        <w:jc w:val="left"/>
        <w:rPr/>
      </w:pPr>
      <w:r>
        <w:rPr>
          <w:rFonts w:ascii="sans-serif" w:hAnsi="sans-serif"/>
          <w:b w:val="false"/>
          <w:color w:val="000000"/>
          <w:sz w:val="10"/>
        </w:rPr>
        <w:t>1</w:t>
      </w:r>
      <w:r>
        <w:rPr>
          <w:color w:val="000000"/>
        </w:rPr>
        <w:t xml:space="preserve"> </w:t>
      </w:r>
      <w:r>
        <w:rPr>
          <w:rFonts w:ascii="sans-serif" w:hAnsi="sans-serif"/>
          <w:b w:val="false"/>
          <w:color w:val="000000"/>
          <w:sz w:val="16"/>
        </w:rPr>
        <w:t xml:space="preserve">For additional information about the non-GAAP financial measures used in this press release, see "Non-GAAP Financial Information" below. </w:t>
      </w: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United Airlines Reports Third-Quarter 2026 Results</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40" w:after="283"/>
                                    <w:jc w:val="left"/>
                                    <w:rPr/>
                                  </w:pPr>
                                  <w:r>
                                    <w:rPr/>
                                  </w:r>
                                </w:p>
                              </w:tc>
                            </w:tr>
                          </w:tbl>
                          <w:p>
                            <w:pPr>
                              <w:pStyle w:val="TextBody"/>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40" w:after="283"/>
                              <w:jc w:val="left"/>
                              <w:rPr/>
                            </w:pPr>
                            <w:r>
                              <w:rPr/>
                            </w:r>
                          </w:p>
                        </w:tc>
                      </w:tr>
                    </w:tbl>
                    <w:p>
                      <w:pPr>
                        <w:pStyle w:val="TextBody"/>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417" w:before="0" w:after="0"/>
        <w:jc w:val="left"/>
        <w:rPr>
          <w:rFonts w:ascii="sans-serif" w:hAnsi="sans-serif"/>
          <w:b w:val="false"/>
          <w:color w:val="000000"/>
          <w:sz w:val="22"/>
        </w:rPr>
      </w:pPr>
      <w:r>
        <w:rPr>
          <w:rFonts w:ascii="sans-serif" w:hAnsi="sans-serif"/>
          <w:b w:val="false"/>
          <w:color w:val="000000"/>
          <w:sz w:val="22"/>
        </w:rPr>
        <w:t xml:space="preserve">competitive advantage. In September, more than 5.4 million United customers experienced Starlink. United expects it to be available fleet-wide by the end of 2027. </w:t>
      </w:r>
    </w:p>
    <w:p>
      <w:pPr>
        <w:pStyle w:val="TextBody"/>
        <w:bidi w:val="0"/>
        <w:spacing w:lineRule="auto" w:line="417" w:before="0" w:after="0"/>
        <w:ind w:left="0" w:right="0" w:firstLine="720"/>
        <w:jc w:val="left"/>
        <w:rPr>
          <w:rFonts w:ascii="sans-serif" w:hAnsi="sans-serif"/>
          <w:b w:val="false"/>
          <w:color w:val="000000"/>
          <w:sz w:val="22"/>
        </w:rPr>
      </w:pPr>
      <w:r>
        <w:rPr>
          <w:rFonts w:ascii="sans-serif" w:hAnsi="sans-serif"/>
          <w:b w:val="false"/>
          <w:color w:val="000000"/>
          <w:sz w:val="22"/>
        </w:rPr>
        <w:t>"We are winning new long-term, brand-loyal United customers because they are trying us for Starlink but staying with us for the industry-leading app, great service, on-board product and technology," Kirby said. "These advantages will persist long after the fast, low-Earth orbit Wi-Fi we are offering today becomes the industry standard. By then, United will be leading on the next innovation as we seek to sustain our lead with customers."</w:t>
      </w:r>
    </w:p>
    <w:p>
      <w:pPr>
        <w:pStyle w:val="TextBody"/>
        <w:bidi w:val="0"/>
        <w:spacing w:lineRule="auto" w:line="417" w:before="0" w:after="0"/>
        <w:ind w:left="0" w:right="0" w:firstLine="720"/>
        <w:jc w:val="left"/>
        <w:rPr>
          <w:rFonts w:ascii="sans-serif" w:hAnsi="sans-serif"/>
          <w:b w:val="false"/>
          <w:color w:val="000000"/>
          <w:sz w:val="22"/>
        </w:rPr>
      </w:pPr>
      <w:r>
        <w:rPr>
          <w:rFonts w:ascii="sans-serif" w:hAnsi="sans-serif"/>
          <w:b w:val="false"/>
          <w:color w:val="000000"/>
          <w:sz w:val="22"/>
        </w:rPr>
        <w:t>On September 17 United announced that travelers can now watch live professional and college football on their Starlink-enabled seatback screens, including live broadcasts from all networks that carry NFL games. Starlink is free for MileagePlus® members in every class of service.</w:t>
      </w:r>
    </w:p>
    <w:p>
      <w:pPr>
        <w:pStyle w:val="TextBody"/>
        <w:bidi w:val="0"/>
        <w:spacing w:lineRule="auto" w:line="417" w:before="0" w:after="0"/>
        <w:ind w:left="0" w:right="0" w:firstLine="720"/>
        <w:jc w:val="left"/>
        <w:rPr/>
      </w:pPr>
      <w:r>
        <w:rPr>
          <w:rFonts w:ascii="sans-serif" w:hAnsi="sans-serif"/>
          <w:b w:val="false"/>
          <w:color w:val="000000"/>
          <w:sz w:val="22"/>
        </w:rPr>
        <w:t>Ongoing customer investments include the new concourse in Terminal B at Houston's George Bush Intercontinental Airport. The United Club</w:t>
      </w:r>
      <w:r>
        <w:rPr>
          <w:rFonts w:ascii="sans-serif" w:hAnsi="sans-serif"/>
          <w:b w:val="false"/>
          <w:color w:val="000000"/>
          <w:sz w:val="14"/>
        </w:rPr>
        <w:t>SM</w:t>
      </w:r>
      <w:r>
        <w:rPr>
          <w:color w:val="000000"/>
        </w:rPr>
        <w:t xml:space="preserve"> </w:t>
      </w:r>
      <w:r>
        <w:rPr>
          <w:rFonts w:ascii="sans-serif" w:hAnsi="sans-serif"/>
          <w:b w:val="false"/>
          <w:color w:val="000000"/>
          <w:sz w:val="22"/>
        </w:rPr>
        <w:t xml:space="preserve">in the new, three-level concourse is the largest airline club in the Americas, with seating for 800 people and an outdoor terrace. During the quarter United also unveiled modernization plans for Washington Dulles International Airport together with the Metropolitan Washington Airports Authority and the U.S. Department of Transportation, with new and expanded airport facilities expected to support more flights. </w:t>
      </w:r>
    </w:p>
    <w:p>
      <w:pPr>
        <w:pStyle w:val="TextBody"/>
        <w:bidi w:val="0"/>
        <w:spacing w:lineRule="auto" w:line="417" w:before="0" w:after="0"/>
        <w:ind w:left="0" w:right="0" w:firstLine="720"/>
        <w:jc w:val="left"/>
        <w:rPr>
          <w:rFonts w:ascii="sans-serif" w:hAnsi="sans-serif"/>
          <w:b w:val="false"/>
          <w:color w:val="000000"/>
          <w:sz w:val="22"/>
        </w:rPr>
      </w:pPr>
      <w:r>
        <w:rPr>
          <w:rFonts w:ascii="sans-serif" w:hAnsi="sans-serif"/>
          <w:b w:val="false"/>
          <w:color w:val="000000"/>
          <w:sz w:val="22"/>
        </w:rPr>
        <w:t>For the third quarter of 2026, United achieved its highest third-quarter customer satisfaction rate as measured by net promoter score since 2022. Customer service scores on Starlink-equipped planes were nearly double those with other Wi-Fi service, and United achieved with the best scores in company history in a third quarter for inflight entertainment and Wi-Fi experience.</w:t>
      </w:r>
    </w:p>
    <w:p>
      <w:pPr>
        <w:pStyle w:val="TextBody"/>
        <w:bidi w:val="0"/>
        <w:spacing w:lineRule="auto" w:line="417" w:before="0" w:after="0"/>
        <w:ind w:left="0" w:right="0" w:firstLine="720"/>
        <w:jc w:val="left"/>
        <w:rPr>
          <w:rFonts w:ascii="sans-serif" w:hAnsi="sans-serif"/>
          <w:b w:val="false"/>
          <w:color w:val="000000"/>
          <w:sz w:val="22"/>
        </w:rPr>
      </w:pPr>
      <w:r>
        <w:rPr>
          <w:rFonts w:ascii="sans-serif" w:hAnsi="sans-serif"/>
          <w:b w:val="false"/>
          <w:color w:val="000000"/>
          <w:sz w:val="22"/>
        </w:rPr>
        <w:t>On October 16, United expanded its revolving credit facility, with available liquidity rising from $3 billion previously to $5 billion under the new facility. The favorable terms in this expanded revolving credit facility demonstrate United's continued focus on strengthening its balance sheet and achieving an investment-grade credit rating.</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Third-Quarter 2026 Results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417" w:before="180" w:after="100"/>
        <w:jc w:val="center"/>
        <w:rPr>
          <w:rFonts w:ascii="sans-serif" w:hAnsi="sans-serif"/>
          <w:b/>
          <w:color w:val="000000"/>
          <w:sz w:val="22"/>
        </w:rPr>
      </w:pPr>
      <w:r>
        <w:rPr>
          <w:rFonts w:ascii="sans-serif" w:hAnsi="sans-serif"/>
          <w:b/>
          <w:color w:val="000000"/>
          <w:sz w:val="22"/>
        </w:rPr>
        <w:t>Third-Quarter Financial Results</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Capacity up 1.3% compared to third-quarter 2025.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Total operating revenue of $17.9 billion, up 17.4% compared to third-quarter 2025.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TRASM up 15.9% compared to third-quarter 2025.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CASM up 17.3%, and CASM-ex</w:t>
      </w:r>
      <w:r>
        <w:rPr>
          <w:rFonts w:ascii="sans-serif" w:hAnsi="sans-serif"/>
          <w:b w:val="false"/>
          <w:color w:val="000000"/>
          <w:sz w:val="14"/>
        </w:rPr>
        <w:t>1</w:t>
      </w:r>
      <w:r>
        <w:rPr>
          <w:color w:val="000000"/>
        </w:rPr>
        <w:t xml:space="preserve"> </w:t>
      </w:r>
      <w:r>
        <w:rPr>
          <w:rFonts w:ascii="sans-serif" w:hAnsi="sans-serif"/>
          <w:b w:val="false"/>
          <w:color w:val="000000"/>
          <w:sz w:val="22"/>
        </w:rPr>
        <w:t>up 7.8%, compared to third-quarter 2025.</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Pre-tax earnings of $1.3 billion, with a pre-tax margin of 7.3%; adjusted pre-tax earnings</w:t>
      </w:r>
      <w:r>
        <w:rPr>
          <w:rFonts w:ascii="sans-serif" w:hAnsi="sans-serif"/>
          <w:b w:val="false"/>
          <w:color w:val="000000"/>
          <w:sz w:val="14"/>
        </w:rPr>
        <w:t>1</w:t>
      </w:r>
      <w:r>
        <w:rPr>
          <w:color w:val="000000"/>
        </w:rPr>
        <w:t xml:space="preserve"> </w:t>
      </w:r>
      <w:r>
        <w:rPr>
          <w:rFonts w:ascii="sans-serif" w:hAnsi="sans-serif"/>
          <w:b w:val="false"/>
          <w:color w:val="000000"/>
          <w:sz w:val="22"/>
        </w:rPr>
        <w:t>of $1.1 billion, with an adjusted pre-tax margin</w:t>
      </w:r>
      <w:r>
        <w:rPr>
          <w:rFonts w:ascii="sans-serif" w:hAnsi="sans-serif"/>
          <w:b w:val="false"/>
          <w:color w:val="000000"/>
          <w:sz w:val="14"/>
        </w:rPr>
        <w:t>1</w:t>
      </w:r>
      <w:r>
        <w:rPr>
          <w:color w:val="000000"/>
        </w:rPr>
        <w:t xml:space="preserve"> </w:t>
      </w:r>
      <w:r>
        <w:rPr>
          <w:rFonts w:ascii="sans-serif" w:hAnsi="sans-serif"/>
          <w:b w:val="false"/>
          <w:color w:val="000000"/>
          <w:sz w:val="22"/>
        </w:rPr>
        <w:t>of 6.2%.</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Net income of $1.0 billion; adjusted net income</w:t>
      </w:r>
      <w:r>
        <w:rPr>
          <w:rFonts w:ascii="sans-serif" w:hAnsi="sans-serif"/>
          <w:b w:val="false"/>
          <w:color w:val="000000"/>
          <w:sz w:val="14"/>
        </w:rPr>
        <w:t xml:space="preserve">1 </w:t>
      </w:r>
      <w:r>
        <w:rPr>
          <w:rFonts w:ascii="sans-serif" w:hAnsi="sans-serif"/>
          <w:b w:val="false"/>
          <w:color w:val="000000"/>
          <w:sz w:val="22"/>
        </w:rPr>
        <w:t>of $833 million.</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Diluted earnings per share of $3.14; adjusted diluted earnings per share</w:t>
      </w:r>
      <w:r>
        <w:rPr>
          <w:rFonts w:ascii="sans-serif" w:hAnsi="sans-serif"/>
          <w:b w:val="false"/>
          <w:color w:val="000000"/>
          <w:sz w:val="14"/>
        </w:rPr>
        <w:t>1</w:t>
      </w:r>
      <w:r>
        <w:rPr>
          <w:color w:val="000000"/>
        </w:rPr>
        <w:t xml:space="preserve"> </w:t>
      </w:r>
      <w:r>
        <w:rPr>
          <w:rFonts w:ascii="sans-serif" w:hAnsi="sans-serif"/>
          <w:b w:val="false"/>
          <w:color w:val="000000"/>
          <w:sz w:val="22"/>
        </w:rPr>
        <w:t>of $2.54.</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Average fuel price per gallon of $3.90.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Ending available liquidity</w:t>
      </w:r>
      <w:r>
        <w:rPr>
          <w:rFonts w:ascii="sans-serif" w:hAnsi="sans-serif"/>
          <w:b w:val="false"/>
          <w:color w:val="000000"/>
          <w:sz w:val="14"/>
        </w:rPr>
        <w:t>2</w:t>
      </w:r>
      <w:r>
        <w:rPr>
          <w:color w:val="000000"/>
        </w:rPr>
        <w:t xml:space="preserve"> </w:t>
      </w:r>
      <w:r>
        <w:rPr>
          <w:rFonts w:ascii="sans-serif" w:hAnsi="sans-serif"/>
          <w:b w:val="false"/>
          <w:color w:val="000000"/>
          <w:sz w:val="22"/>
        </w:rPr>
        <w:t xml:space="preserve">of $17.7 billion.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Total debt, finance lease obligations and other financial liabilities of $26.4 billion at quarter end.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Trailing twelve months net leverage</w:t>
      </w:r>
      <w:r>
        <w:rPr>
          <w:rFonts w:ascii="sans-serif" w:hAnsi="sans-serif"/>
          <w:b w:val="false"/>
          <w:color w:val="000000"/>
          <w:sz w:val="14"/>
        </w:rPr>
        <w:t>1</w:t>
      </w:r>
      <w:r>
        <w:rPr>
          <w:color w:val="000000"/>
        </w:rPr>
        <w:t xml:space="preserve"> </w:t>
      </w:r>
      <w:r>
        <w:rPr>
          <w:rFonts w:ascii="sans-serif" w:hAnsi="sans-serif"/>
          <w:b w:val="false"/>
          <w:color w:val="000000"/>
          <w:sz w:val="22"/>
        </w:rPr>
        <w:t>of 2.4x.</w:t>
      </w:r>
    </w:p>
    <w:p>
      <w:pPr>
        <w:pStyle w:val="TextBody"/>
        <w:bidi w:val="0"/>
        <w:spacing w:before="0" w:after="0"/>
        <w:jc w:val="left"/>
        <w:rPr/>
      </w:pPr>
      <w:r>
        <w:rPr/>
      </w:r>
    </w:p>
    <w:p>
      <w:pPr>
        <w:pStyle w:val="TextBody"/>
        <w:bidi w:val="0"/>
        <w:spacing w:lineRule="auto" w:line="417" w:before="180" w:after="100"/>
        <w:jc w:val="center"/>
        <w:rPr>
          <w:rFonts w:ascii="sans-serif" w:hAnsi="sans-serif"/>
          <w:b/>
          <w:color w:val="000000"/>
          <w:sz w:val="22"/>
        </w:rPr>
      </w:pPr>
      <w:r>
        <w:rPr>
          <w:rFonts w:ascii="sans-serif" w:hAnsi="sans-serif"/>
          <w:b/>
          <w:color w:val="000000"/>
          <w:sz w:val="22"/>
        </w:rPr>
        <w:t xml:space="preserve">Key Highlights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Announced the largest-ever international network expansion with service to 10 new destinations planned to start in summer 2027, including Catania, Italy; Ibiza, Spain; Ljubljana, Slovenia; Luxembourg; Marseille, France; Okinawa, Japan; Olbia, Italy; Terceira, Portugal; Toulouse, France; and Valencia, Spain. All new routes are subject to government approval.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Operated the largest domestic schedule in company history, serving 241 airports across the U.S. and Canada, the most of any carrier in the quarter.</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In an agreement with DISH, launched live TV streaming on aircraft with Starlink-enabled seatback screens, unlocking professional and college football viewership in the air.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Made aviation and sports broadcast history in collaboration with Disney Advertising, with an ESPN Football Fantasy Draft livestream from a flight, powered by Starlink.</w:t>
      </w:r>
    </w:p>
    <w:p>
      <w:pPr>
        <w:pStyle w:val="TextBody"/>
        <w:bidi w:val="0"/>
        <w:spacing w:before="0" w:after="0"/>
        <w:jc w:val="left"/>
        <w:rPr/>
      </w:pPr>
      <w:r>
        <w:rPr/>
      </w:r>
    </w:p>
    <w:p>
      <w:pPr>
        <w:pStyle w:val="TextBody"/>
        <w:bidi w:val="0"/>
        <w:spacing w:lineRule="auto" w:line="417" w:before="180" w:after="100"/>
        <w:jc w:val="center"/>
        <w:rPr>
          <w:rFonts w:ascii="sans-serif" w:hAnsi="sans-serif"/>
          <w:b/>
          <w:color w:val="000000"/>
          <w:sz w:val="22"/>
        </w:rPr>
      </w:pPr>
      <w:r>
        <w:rPr>
          <w:rFonts w:ascii="sans-serif" w:hAnsi="sans-serif"/>
          <w:b/>
          <w:color w:val="000000"/>
          <w:sz w:val="22"/>
        </w:rPr>
        <w:t xml:space="preserve">Customer Experience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In August, United introduced 10 new, exclusive meals in United Polaris® cabins in collaboration with Chef's Table.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Over 87% of customers used digital check-in — with the increase driven by international customers — thanks to continued enhancements such as Japanese language translations within the app.</w:t>
      </w:r>
    </w:p>
    <w:p>
      <w:pPr>
        <w:pStyle w:val="TextBody"/>
        <w:bidi w:val="0"/>
        <w:spacing w:lineRule="auto" w:line="417"/>
        <w:ind w:left="0" w:right="0" w:hanging="360"/>
        <w:jc w:val="left"/>
        <w:rPr/>
      </w:pPr>
      <w:r>
        <w:rPr>
          <w:color w:val="000000"/>
        </w:rPr>
        <w:t>•</w:t>
      </w:r>
      <w:r>
        <w:rPr>
          <w:rFonts w:ascii="sans-serif" w:hAnsi="sans-serif"/>
          <w:b w:val="false"/>
          <w:color w:val="000000"/>
          <w:sz w:val="22"/>
        </w:rPr>
        <w:t>Awarded by Tom's Guide for "Best of Travel" for the implementation of Starlink, which it called a "masterclass in passenger experience."</w:t>
      </w: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Third-Quarter 2026 Results </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92480"/>
                <wp:effectExtent l="0" t="0" r="0" b="0"/>
                <wp:wrapNone/>
                <wp:docPr id="7" name="Frame6"/>
                <a:graphic xmlns:a="http://schemas.openxmlformats.org/drawingml/2006/main">
                  <a:graphicData uri="http://schemas.microsoft.com/office/word/2010/wordprocessingShape">
                    <wps:wsp>
                      <wps:cNvSpPr txBox="1"/>
                      <wps:spPr>
                        <a:xfrm>
                          <a:off x="0" y="0"/>
                          <a:ext cx="6480175" cy="792480"/>
                        </a:xfrm>
                        <a:prstGeom prst="rect"/>
                        <a:solidFill>
                          <a:srgbClr val="FFFFFF"/>
                        </a:solidFill>
                      </wps:spPr>
                      <wps:txbx>
                        <w:txbxContent>
                          <w:tbl>
                            <w:tblPr>
                              <w:tblW w:w="7419" w:type="dxa"/>
                              <w:jc w:val="center"/>
                              <w:tblInd w:w="0" w:type="dxa"/>
                              <w:tblLayout w:type="fixed"/>
                              <w:tblCellMar>
                                <w:top w:w="28" w:type="dxa"/>
                                <w:left w:w="28" w:type="dxa"/>
                                <w:bottom w:w="28" w:type="dxa"/>
                                <w:right w:w="28" w:type="dxa"/>
                              </w:tblCellMar>
                            </w:tblPr>
                            <w:tblGrid>
                              <w:gridCol w:w="884"/>
                              <w:gridCol w:w="772"/>
                              <w:gridCol w:w="772"/>
                              <w:gridCol w:w="772"/>
                              <w:gridCol w:w="772"/>
                              <w:gridCol w:w="772"/>
                              <w:gridCol w:w="772"/>
                              <w:gridCol w:w="772"/>
                              <w:gridCol w:w="1131"/>
                            </w:tblGrid>
                            <w:tr>
                              <w:trPr/>
                              <w:tc>
                                <w:tcPr>
                                  <w:tcW w:w="884" w:type="dxa"/>
                                  <w:tcBorders/>
                                  <w:vAlign w:val="center"/>
                                </w:tcPr>
                                <w:p>
                                  <w:pPr>
                                    <w:pStyle w:val="TableContents"/>
                                    <w:bidi w:val="0"/>
                                    <w:spacing w:before="0" w:after="283"/>
                                    <w:jc w:val="left"/>
                                    <w:rPr>
                                      <w:sz w:val="4"/>
                                      <w:szCs w:val="4"/>
                                    </w:rPr>
                                  </w:pPr>
                                  <w:r>
                                    <w:rPr>
                                      <w:sz w:val="4"/>
                                      <w:szCs w:val="4"/>
                                    </w:rPr>
                                  </w:r>
                                  <w:r>
                                    <w:br w:type="page"/>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24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0"/>
                                    </w:rPr>
                                    <w:t>2</w:t>
                                  </w:r>
                                  <w:r>
                                    <w:rPr>
                                      <w:color w:val="000000"/>
                                    </w:rPr>
                                    <w:t xml:space="preserve"> </w:t>
                                  </w:r>
                                  <w:r>
                                    <w:rPr>
                                      <w:rFonts w:ascii="sans-serif" w:hAnsi="sans-serif"/>
                                      <w:b w:val="false"/>
                                      <w:color w:val="000000"/>
                                      <w:sz w:val="16"/>
                                    </w:rPr>
                                    <w:t>Includes cash, cash equivalents, short-term investments and undrawn credit facilities.</w:t>
                                  </w:r>
                                </w:p>
                              </w:tc>
                            </w:tr>
                          </w:tbl>
                          <w:p>
                            <w:pPr>
                              <w:pStyle w:val="TextBody"/>
                              <w:bidi w:val="0"/>
                              <w:spacing w:lineRule="auto" w:line="288" w:before="0" w:after="0"/>
                              <w:ind w:left="0" w:right="0" w:firstLine="720"/>
                              <w:jc w:val="center"/>
                              <w:rPr>
                                <w:rFonts w:ascii="sans-serif" w:hAnsi="sans-serif"/>
                                <w:b w:val="false"/>
                                <w:color w:val="000000"/>
                                <w:sz w:val="18"/>
                              </w:rPr>
                            </w:pPr>
                            <w:r>
                              <w:rPr>
                                <w:rFonts w:ascii="sans-serif" w:hAnsi="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4pt;mso-wrap-distance-left:0pt;mso-wrap-distance-right:0pt;mso-wrap-distance-top:0pt;mso-wrap-distance-bottom:0pt;margin-top:0pt;mso-position-vertical:top;mso-position-vertical-relative:text;margin-left:0pt;mso-position-horizontal:left;mso-position-horizontal-relative:text">
                <v:textbox>
                  <w:txbxContent>
                    <w:tbl>
                      <w:tblPr>
                        <w:tblW w:w="7419" w:type="dxa"/>
                        <w:jc w:val="center"/>
                        <w:tblInd w:w="0" w:type="dxa"/>
                        <w:tblLayout w:type="fixed"/>
                        <w:tblCellMar>
                          <w:top w:w="28" w:type="dxa"/>
                          <w:left w:w="28" w:type="dxa"/>
                          <w:bottom w:w="28" w:type="dxa"/>
                          <w:right w:w="28" w:type="dxa"/>
                        </w:tblCellMar>
                      </w:tblPr>
                      <w:tblGrid>
                        <w:gridCol w:w="884"/>
                        <w:gridCol w:w="772"/>
                        <w:gridCol w:w="772"/>
                        <w:gridCol w:w="772"/>
                        <w:gridCol w:w="772"/>
                        <w:gridCol w:w="772"/>
                        <w:gridCol w:w="772"/>
                        <w:gridCol w:w="772"/>
                        <w:gridCol w:w="1131"/>
                      </w:tblGrid>
                      <w:tr>
                        <w:trPr/>
                        <w:tc>
                          <w:tcPr>
                            <w:tcW w:w="88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24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0"/>
                              </w:rPr>
                              <w:t>2</w:t>
                            </w:r>
                            <w:r>
                              <w:rPr>
                                <w:color w:val="000000"/>
                              </w:rPr>
                              <w:t xml:space="preserve"> </w:t>
                            </w:r>
                            <w:r>
                              <w:rPr>
                                <w:rFonts w:ascii="sans-serif" w:hAnsi="sans-serif"/>
                                <w:b w:val="false"/>
                                <w:color w:val="000000"/>
                                <w:sz w:val="16"/>
                              </w:rPr>
                              <w:t>Includes cash, cash equivalents, short-term investments and undrawn credit facilities.</w:t>
                            </w:r>
                          </w:p>
                        </w:tc>
                      </w:tr>
                    </w:tbl>
                    <w:p>
                      <w:pPr>
                        <w:pStyle w:val="TextBody"/>
                        <w:bidi w:val="0"/>
                        <w:spacing w:lineRule="auto" w:line="288" w:before="0" w:after="0"/>
                        <w:ind w:left="0" w:right="0" w:firstLine="720"/>
                        <w:jc w:val="center"/>
                        <w:rPr>
                          <w:rFonts w:ascii="sans-serif" w:hAnsi="sans-serif"/>
                          <w:b w:val="false"/>
                          <w:color w:val="000000"/>
                          <w:sz w:val="18"/>
                        </w:rPr>
                      </w:pPr>
                      <w:r>
                        <w:rPr>
                          <w:rFonts w:ascii="sans-serif" w:hAnsi="sans-serif"/>
                          <w:b w:val="false"/>
                          <w:color w:val="000000"/>
                          <w:sz w:val="18"/>
                        </w:rPr>
                        <w:t>3</w:t>
                      </w:r>
                    </w:p>
                  </w:txbxContent>
                </v:textbox>
                <w10:wrap type="none"/>
              </v:rect>
            </w:pict>
          </mc:Fallback>
        </mc:AlternateConten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Expanded digital travel notifications in 11 more international markets, bringing real-time trip communications to customers in 33 total markets in their preferred channels and languages.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Worked with Aperture Cellars to blend a wine at 35,000 feet, expected to be featured on select flights in United Polaris in 2028.</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Launched Flight Finder, giving customers whose travel was disrupted more control over rebooking options and a faster path to recovery. </w:t>
      </w:r>
    </w:p>
    <w:p>
      <w:pPr>
        <w:pStyle w:val="TextBody"/>
        <w:bidi w:val="0"/>
        <w:spacing w:lineRule="auto" w:line="417" w:before="180" w:after="100"/>
        <w:jc w:val="center"/>
        <w:rPr>
          <w:rFonts w:ascii="sans-serif" w:hAnsi="sans-serif"/>
          <w:b/>
          <w:color w:val="000000"/>
          <w:sz w:val="22"/>
        </w:rPr>
      </w:pPr>
      <w:r>
        <w:rPr>
          <w:rFonts w:ascii="sans-serif" w:hAnsi="sans-serif"/>
          <w:b/>
          <w:color w:val="000000"/>
          <w:sz w:val="22"/>
        </w:rPr>
        <w:br/>
        <w:t xml:space="preserve">Operations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Averaged approximately 538,000 daily customers during the quarter, recording six of its 10 highest-volume travel days for the year so far. United carried a record 49.5 million revenue customers during the quarter.</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Ranked among the most reliable U.S. carriers this summer, with the lowest seat cancellation rate among the three largest U.S. airlines as measured by available seat miles.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Posted the best July on-time departure rate among the seven largest U.S. carriers despite historic weather disruptions. July was United's busiest month ever, with 18.4 million customers carried.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Completed a four-year expansion of the Denver Flight Training Center, adding 40 flight simulators for a total of 86, and enabling training for 860 pilots daily.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Transported more than 352 million pounds of cargo during the quarter, for the largest third quarter in company history.</w:t>
      </w:r>
    </w:p>
    <w:p>
      <w:pPr>
        <w:pStyle w:val="TextBody"/>
        <w:bidi w:val="0"/>
        <w:spacing w:before="0" w:after="0"/>
        <w:jc w:val="left"/>
        <w:rPr/>
      </w:pPr>
      <w:r>
        <w:rPr/>
      </w:r>
    </w:p>
    <w:p>
      <w:pPr>
        <w:pStyle w:val="TextBody"/>
        <w:bidi w:val="0"/>
        <w:spacing w:lineRule="auto" w:line="417" w:before="0" w:after="0"/>
        <w:jc w:val="center"/>
        <w:rPr>
          <w:rFonts w:ascii="sans-serif" w:hAnsi="sans-serif"/>
          <w:b/>
          <w:color w:val="000000"/>
          <w:sz w:val="22"/>
        </w:rPr>
      </w:pPr>
      <w:r>
        <w:rPr>
          <w:rFonts w:ascii="sans-serif" w:hAnsi="sans-serif"/>
          <w:b/>
          <w:color w:val="000000"/>
          <w:sz w:val="22"/>
        </w:rPr>
        <w:t>Network</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Announced additional summer 2027 service on four international routes: Los Angeles-Osaka, Washington Dulles-Milan, Denver-Paris, and San Francisco-Tel Aviv.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Resumed service from Newark to Tel Aviv in early September.</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Launched nonstop service from Newark to Seoul and four new domestic routes from Newark: Bentonville, Arkansas; Charlottesville, Virginia; Knoxville, Tennessee; and Omaha, Nebraska.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Expanded 787-9 Elevated service from San Francisco to Zurich and Seoul, joining Singapore and London routes that were introduced in the second quarter of 2026. These premium configured aircraft feature 99 total premium seats including 8 United Polaris Studio℠ suites and 56 United Polaris seats. </w:t>
      </w:r>
    </w:p>
    <w:p>
      <w:pPr>
        <w:pStyle w:val="TextBody"/>
        <w:bidi w:val="0"/>
        <w:spacing w:before="0" w:after="0"/>
        <w:jc w:val="left"/>
        <w:rPr/>
      </w:pPr>
      <w:r>
        <w:rPr/>
      </w:r>
    </w:p>
    <w:p>
      <w:pPr>
        <w:pStyle w:val="TextBody"/>
        <w:bidi w:val="0"/>
        <w:spacing w:lineRule="auto" w:line="417" w:before="180" w:after="100"/>
        <w:jc w:val="center"/>
        <w:rPr>
          <w:rFonts w:ascii="sans-serif" w:hAnsi="sans-serif"/>
          <w:b/>
          <w:color w:val="000000"/>
          <w:sz w:val="22"/>
        </w:rPr>
      </w:pPr>
      <w:r>
        <w:rPr>
          <w:rFonts w:ascii="sans-serif" w:hAnsi="sans-serif"/>
          <w:b/>
          <w:color w:val="000000"/>
          <w:sz w:val="22"/>
        </w:rPr>
        <w:t>Employees, Communities and Investments</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Launched the "Wishes Snackbox" with Make-A-Wish, featuring original art and hand-selected snacks from Wish kids. United will donate $1 for each box sold, up to $250,000.</w:t>
      </w:r>
    </w:p>
    <w:p>
      <w:pPr>
        <w:pStyle w:val="TextBody"/>
        <w:bidi w:val="0"/>
        <w:spacing w:lineRule="auto" w:line="417"/>
        <w:ind w:left="0" w:right="0" w:hanging="360"/>
        <w:jc w:val="left"/>
        <w:rPr/>
      </w:pPr>
      <w:r>
        <w:rPr>
          <w:color w:val="000000"/>
        </w:rPr>
        <w:t>•</w:t>
      </w:r>
      <w:r>
        <w:rPr>
          <w:rFonts w:ascii="sans-serif" w:hAnsi="sans-serif"/>
          <w:b w:val="false"/>
          <w:color w:val="000000"/>
          <w:sz w:val="22"/>
        </w:rPr>
        <w:t>Kicked off United's Season of Service, with 3,100 employees volunteering 9,000 hours at nonprofits worldwide and packing nearly 471,000 meals to commemorate the 25th anniversary of 9/11.</w:t>
      </w: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Third-Quarter 2026 Results </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3350"/>
                <wp:effectExtent l="0" t="0" r="0" b="0"/>
                <wp:wrapNone/>
                <wp:docPr id="8" name="Frame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Contributed more than 40 million donated MileagePlus miles, including 18 million for Airlink and World Central Kitchen, to support 20 global response and recovery efforts. With partners, transported more than 200 responders and 30,000 pounds of cargo, supported 43 NGOs, reached more than 722,000 people and saved the NGO community more than $410,000.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 xml:space="preserve">United and its employees raised $1.3 million for Special Olympics through the annual Plane Pull competition. </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Invested in the future aviation workforce through United's inaugural Discovery Day, in collaboration with the Boys &amp; Girls Clubs of Chicago, and annual Girls in Aviation Day. The two events connected 860 young people at 27 events across six hubs, 20 line stations and United headquarters with hands-on experiences in technology, customer experience and corporate functions.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Third-Quarter 2026 Results </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3350"/>
                <wp:effectExtent l="0" t="0" r="0" b="0"/>
                <wp:wrapNone/>
                <wp:docPr id="9" name="Frame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5</w:t>
                      </w:r>
                    </w:p>
                  </w:txbxContent>
                </v:textbox>
                <w10:wrap type="none"/>
              </v:rect>
            </w:pict>
          </mc:Fallback>
        </mc:AlternateContent>
      </w:r>
    </w:p>
    <w:p>
      <w:pPr>
        <w:pStyle w:val="TextBody"/>
        <w:bidi w:val="0"/>
        <w:spacing w:lineRule="auto" w:line="276" w:before="0" w:after="40"/>
        <w:jc w:val="center"/>
        <w:rPr>
          <w:rFonts w:ascii="sans-serif" w:hAnsi="sans-serif"/>
          <w:b/>
          <w:color w:val="000000"/>
          <w:sz w:val="20"/>
        </w:rPr>
      </w:pPr>
      <w:r>
        <w:rPr>
          <w:rFonts w:ascii="sans-serif" w:hAnsi="sans-serif"/>
          <w:b/>
          <w:color w:val="000000"/>
          <w:sz w:val="20"/>
        </w:rPr>
        <w:t>Earnings Call</w:t>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UAL will hold a conference call to discuss third-quarter 2026 financial results, as well as its financial and operational outlook for the fourth quarter 2026 and beyond, on Wednesday, October 21, 2026, at 9:30 a.m. CDT/10:30 a.m. EDT. A live, listen-only webcast of the conference call will be available at ir.united.com. The webcast will be available for replay within 24 hours of the conference call and then archived on the website.</w:t>
      </w:r>
    </w:p>
    <w:p>
      <w:pPr>
        <w:pStyle w:val="TextBody"/>
        <w:bidi w:val="0"/>
        <w:spacing w:lineRule="auto" w:line="276" w:before="0" w:after="40"/>
        <w:jc w:val="center"/>
        <w:rPr>
          <w:rFonts w:ascii="sans-serif" w:hAnsi="sans-serif"/>
          <w:b/>
          <w:color w:val="000000"/>
          <w:sz w:val="20"/>
        </w:rPr>
      </w:pPr>
      <w:r>
        <w:rPr>
          <w:rFonts w:ascii="sans-serif" w:hAnsi="sans-serif"/>
          <w:b/>
          <w:color w:val="000000"/>
          <w:sz w:val="20"/>
        </w:rPr>
        <w:t>Outlook</w:t>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This press release should be read in conjunction with the company's Investor Update issued in connection with this quarterly earnings announcement, which provides additional information on the company's business outlook (including certain financial and operational guidance) and is furnished with this press release to the U.S. Securities and Exchange Commission on a Current Report on Form 8-K. The Investor Update is also available at ir.united.com. Management will also discuss certain business outlook items, including certain financial targets for the fourth quarter 2026 and beyond, during the quarterly earnings conference call.</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The company's business outlook is subject to risks and uncertainties applicable to all forward-looking statements as described elsewhere in this press release. Please see the section entitled "Cautionary Statement Regarding Forward-Looking Statements."</w:t>
      </w:r>
    </w:p>
    <w:p>
      <w:pPr>
        <w:pStyle w:val="TextBody"/>
        <w:bidi w:val="0"/>
        <w:spacing w:before="0" w:after="0"/>
        <w:jc w:val="left"/>
        <w:rPr/>
      </w:pPr>
      <w:r>
        <w:rPr/>
      </w:r>
    </w:p>
    <w:p>
      <w:pPr>
        <w:pStyle w:val="TextBody"/>
        <w:bidi w:val="0"/>
        <w:spacing w:lineRule="auto" w:line="268" w:before="0" w:after="40"/>
        <w:jc w:val="center"/>
        <w:rPr>
          <w:rFonts w:ascii="sans-serif" w:hAnsi="sans-serif"/>
          <w:b/>
          <w:color w:val="000000"/>
          <w:sz w:val="20"/>
        </w:rPr>
      </w:pPr>
      <w:r>
        <w:rPr>
          <w:rFonts w:ascii="sans-serif" w:hAnsi="sans-serif"/>
          <w:b/>
          <w:color w:val="000000"/>
          <w:sz w:val="20"/>
        </w:rPr>
        <w:t xml:space="preserve">About United </w:t>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 xml:space="preserve">At United, Good Leads The Way. With hubs in Chicago, Denver, Houston, Los Angeles, New York/Newark, San Francisco and Washington, D.C., United operates the most comprehensive global route network among North American carriers, and is now the largest airline in the world. For more about how to join the United team, please visit www.united.com/careers and more information about the company is at www.united.com. United Airlines Holdings, Inc., the parent company of United Airlines, Inc., is traded on the Nasdaq under the symbol "UAL". </w:t>
      </w:r>
    </w:p>
    <w:p>
      <w:pPr>
        <w:pStyle w:val="TextBody"/>
        <w:bidi w:val="0"/>
        <w:spacing w:before="0" w:after="0"/>
        <w:jc w:val="left"/>
        <w:rPr/>
      </w:pPr>
      <w:r>
        <w:rPr/>
      </w:r>
    </w:p>
    <w:p>
      <w:pPr>
        <w:pStyle w:val="TextBody"/>
        <w:bidi w:val="0"/>
        <w:spacing w:lineRule="auto" w:line="276" w:before="0" w:after="40"/>
        <w:jc w:val="center"/>
        <w:rPr>
          <w:rFonts w:ascii="sans-serif" w:hAnsi="sans-serif"/>
          <w:b/>
          <w:color w:val="000000"/>
          <w:sz w:val="20"/>
        </w:rPr>
      </w:pPr>
      <w:r>
        <w:rPr>
          <w:rFonts w:ascii="sans-serif" w:hAnsi="sans-serif"/>
          <w:b/>
          <w:color w:val="000000"/>
          <w:sz w:val="20"/>
        </w:rPr>
        <w:t>Website and Social Media Information</w:t>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We routinely post important news and information regarding United on our corporate website, www.united.com, and our investor relations website, ir.united.com. We use our investor relations website as a primary channel for disclosing key information to our investors, including the timing of future investor conferences and earnings calls, press releases and other information about financial performance (including financial guidance), reports filed or furnished with the U.S. Securities and Exchange Commission, information on corporate governance and details related to our annual meeting of shareholders. We may use our investor relations website as a means of disclosing material, non-public information (including financial guidance) and for complying with our disclosure obligations under Regulation FD. We encourage investors, the media and others interested in the company to visit this website from time to time, as information is updated and new information is posted. We may also use social media channels to communicate with our investors and the public about our company and other matters, and those communications could be deemed to be material information. Our executive officers may also use certain social media channels, such as X and LinkedIn, to communicate information about earnings results and company updates, which may be of interest to our investors or could be deemed to be material information. The information contained on, or that may be accessed through, our website or social media channels are not incorporated by reference into, and are not a part of, this document.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0"/>
        </w:rPr>
      </w:pPr>
      <w:r>
        <w:rPr>
          <w:rFonts w:ascii="sans-serif" w:hAnsi="sans-serif"/>
          <w:b/>
          <w:color w:val="000000"/>
          <w:sz w:val="20"/>
        </w:rPr>
        <w:t xml:space="preserve">Cautionary Statement Regarding Forward-Looking Statements: </w:t>
      </w:r>
    </w:p>
    <w:p>
      <w:pPr>
        <w:pStyle w:val="TextBody"/>
        <w:bidi w:val="0"/>
        <w:spacing w:lineRule="auto" w:line="276"/>
        <w:jc w:val="left"/>
        <w:rPr>
          <w:rFonts w:ascii="sans-serif" w:hAnsi="sans-serif"/>
          <w:b w:val="false"/>
          <w:color w:val="000000"/>
          <w:sz w:val="20"/>
        </w:rPr>
      </w:pPr>
      <w:r>
        <w:rPr>
          <w:rFonts w:ascii="sans-serif" w:hAnsi="sans-serif"/>
          <w:b w:val="false"/>
          <w:color w:val="000000"/>
          <w:sz w:val="20"/>
        </w:rPr>
        <w:t xml:space="preserve">This press release and the related attachments and Investor Update (as well as the oral statements made with respect to information contained in this release and the attachments) contain certain "forward-looking statements," within the meaning of Section 27A of the Securities Act of 1933, as amended, and Section 21E of the Securities Exchange Act of 1934, as amended, relating to, among other things, goals, plans and projections regarding the company's financial position, results of operations, capital allocation and investments, market position, airline capacity, fleet plan strategy, fares, announced routes (which may be subject to government approval), booking trends, product development, corporate citizenship-related strategy initiatives and business strategy.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 objectives to differ materially from those expressed in, or implied by, the statements. Words such as "should," "could," "would," "will," "may," "expects," "plans," "intends," "anticipates," "indicates," "remains," "believes," "estimates," "projects," "forecast," "guidance," "outlook," "goals," "targets," "pledge," "confident," "optimistic," "dedicated," "positioned," "on track", "path" and other words and terms of similar meaning and expression are intended to identify forward-looking statements, although not all forward-looking </w:t>
      </w: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Third-Quarter 2026 Results </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3350"/>
                <wp:effectExtent l="0" t="0" r="0" b="0"/>
                <wp:wrapNone/>
                <wp:docPr id="10" name="Frame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6</w:t>
                      </w:r>
                    </w:p>
                  </w:txbxContent>
                </v:textbox>
                <w10:wrap type="none"/>
              </v:rect>
            </w:pict>
          </mc:Fallback>
        </mc:AlternateContent>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statements contain such terms. All statements, other than those that relate solely to historical facts, are forward-looking statements.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release are based upon information available to us on the date of this release. We undertake no obligation to publicly update or revise any forward-looking statement, whether as a result of new information, future events, changed circumstances or otherwise, except as required by applicable law or regulation.</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Our actual results could differ materially from these forward-looking statements due to numerous factors including, without limitation, the following: execution risks associated with our strategic operating plan; changes in our fleet and network strategy or other factors outside our control resulting in less economic aircraft orders, costs related to modification or termination of aircraft orders or entry into aircraft orders on less favorable terms, as well as any inability to accept or integrate new aircraft into our fleet as planned, including as a result of any mandatory groundings of aircraft; any failure to effectively manage, and receive anticipated benefits and returns from, acquisitions, divestitures, investments, joint ventures and other portfolio actions, or related exposures to unknown liabilities or other issues or underperformance as compared to our expectations; adverse publicity, increased regulatory scrutiny, harm to our brand, reduced travel demand, potential tort liability and operational restrictions as a result of an accident, catastrophe or incident involving us, our regional carriers, our codeshare partners or another airline; the highly competitive nature of the global airline industry and susceptibility of the industry to price discounting and changes in capacity, including as a result of alliances, joint business arrangements or other consolidations; unfavorable developments affecting our MileagePlus loyalty program our reliance on a limited number of suppliers to source a majority of our aircraft, engines and certain parts, and the impact of any failure to obtain timely deliveries, additional equipment or support from any of these suppliers; unfavorable economic and political conditions in the United States and globally; reliance on third-party service providers and the impact of any significant failure of these parties to perform as expected, or interruptions in our relationships with these providers or their provision of services; extended interruptions or disruptions in service at major airports where we operate and space, facility and infrastructure constraints at our hubs or other airports (including as a result of government shutdowns); geopolitical conflict, terrorist attacks or security events (including the suspension of our overflying in Russian airspace as a result of the Russia-Ukraine military conflict and interruptions of our flying as a result of the military conflicts across the globe, as well as any escalation of the broader economic consequences of any conflicts beyond their current scope or a delay in any planned resumption of service to area impacted by conflict); any damage to our reputation or brand image; disruptions to our regional network and United Express flights provided by third-party regional carriers; our reliance on technology and automated systems to operate our business and the impact of any significant failure or disruption of, or failure to effectively integrate and implement, these technologies or systems; increasing privacy, data security and cybersecurity obligations or a significant data breach; increased use of social media platforms by us, our employees and others; the impacts of union disputes, employee strikes or slowdowns, and other labor-related disruptions as well as increased employee and retiree health, pension, labor or regulatory compliance costs on our operations or financial performance; any failure to recruit, hire, develop or retain skilled personnel, including our senior management team or other key employees; the monetary and operational costs of compliance with extensive government regulation of the airline industry; current or future litigation and regulatory actions, or failure to comply with the terms of any settlement, order or agreement relating to these actions; costs, liabilities and risks associated with environmental regulation and climate change; high and/or volatile fuel prices or significant disruptions in the supply of aircraft fuel, including as a result of the geopolitical conflicts in the Middle East and in other regions; the impacts of our significant amount of financial leverage from fixed obligations and the impacts of insufficient liquidity on our financial condition and business; failure to comply with financial and other covenants governing our debt; limitations on our ability to use our net operating loss carryforwards and certain other tax attributes to offset future taxable income for U.S. federal income tax purposes; our failure to realize the full value of our intangible assets or our long-lived assets, causing us to record impairments; fluctuations in the price of our common stock; the impacts of seasonality, and other factors associated with the airline industry; increases in insurance costs or inadequate insurance coverage; risks relating to our repurchase program for shares of United Airlines Holdings, Inc.'s common stock and certain warrants; and other risks and uncertainties set forth in Part I, Item 1A. Risk Factors of our Annual Report on Form 10-K for the year ended December 31, 2025 and in Part I, Item 2. “Management's Discussion and Analysis of Financial Condition and Results of Operations” of our Quarterly Report on Form 10-Q for the period ended June 30, 2026, as well as other risks and uncertainties set forth from time to time in the reports we file with the U.S. Securities and Exchange Commission.</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0"/>
        </w:rPr>
      </w:pPr>
      <w:r>
        <w:rPr>
          <w:rFonts w:ascii="sans-serif" w:hAnsi="sans-serif"/>
          <w:b/>
          <w:color w:val="000000"/>
          <w:sz w:val="20"/>
        </w:rPr>
        <w:t>Non-GAAP Financial Information:</w:t>
      </w:r>
    </w:p>
    <w:p>
      <w:pPr>
        <w:pStyle w:val="TextBody"/>
        <w:bidi w:val="0"/>
        <w:spacing w:lineRule="auto" w:line="276"/>
        <w:jc w:val="left"/>
        <w:rPr>
          <w:rFonts w:ascii="sans-serif" w:hAnsi="sans-serif"/>
          <w:b w:val="false"/>
          <w:color w:val="000000"/>
          <w:sz w:val="20"/>
        </w:rPr>
      </w:pPr>
      <w:r>
        <w:rPr>
          <w:rFonts w:ascii="sans-serif" w:hAnsi="sans-serif"/>
          <w:b w:val="false"/>
          <w:color w:val="000000"/>
          <w:sz w:val="20"/>
        </w:rPr>
        <w:t xml:space="preserve">In discussing financial results and guidance, the company refers to financial measures that are not in accordance with U.S. Generally Accepted Accounting Principles ("GAAP"). The non-GAAP financial measures are provided as supplemental information to the financial measures presented in this press release that are calculated and presented in accordance with GAAP and are presented because management believes that they supplement or enhance management's, analysts' and </w:t>
      </w: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Third-Quarter 2026 Results </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3350"/>
                <wp:effectExtent l="0" t="0" r="0" b="0"/>
                <wp:wrapNone/>
                <wp:docPr id="11" name="Frame1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7</w:t>
                      </w:r>
                    </w:p>
                  </w:txbxContent>
                </v:textbox>
                <w10:wrap type="none"/>
              </v:rect>
            </w:pict>
          </mc:Fallback>
        </mc:AlternateContent>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investors' overall understanding of the company's underlying financial performance and trends and facilitate comparisons among current, past and future periods. Non-GAAP financial measures typically have exclusions or adjustments that include one or more of the following characteristics, such as being highly variable, difficult to project, unusual in nature, significant to the results of a particular period or not indicative of past or future operating results. These items are excluded because the company believes they neither relate to the ordinary course of the company's business nor reflect the company's underlying business performance.</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Because the non-GAAP financial measures are not calculated in accordance with GAAP, they should not be considered superior to and are not intended to be considered in isolation or as a substitute for the related GAAP financial measures presented in the press release and may not be the same as or comparable to similarly titled measures presented by other companies due to possible differences in method and in the items being adjusted. We encourage investors to review our financial statements and publicly-filed reports in their entirety and not to rely on any single financial measure. The company does not provide a reconciliation of forward-looking measures where the company believes such a reconciliation would imply a degree of precision and certainty that could be confusing to investors and is unable to reasonably predict certain items contained in the GAAP measures without unreasonable efforts. This is due to the inherent difficulty of forecasting the timing or amount of various items that have not yet occurred and are out of the company's control or cannot be reasonably predicted. For the same reasons, the company is unable to address the probable significance of the unavailable information. Forward-looking non-GAAP financial measures provided without the most directly comparable GAAP financial measures may vary materially from the corresponding GAAP financial measures.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Please refer to the tables accompanying this release for a description of the non-GAAP adjustments and reconciliations of the historical non-GAAP financial measures used to the most comparable GAAP financial measure and related disclosures.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556" w:before="0" w:after="0"/>
        <w:jc w:val="center"/>
        <w:rPr>
          <w:rFonts w:ascii="sans-serif" w:hAnsi="sans-serif"/>
          <w:b w:val="false"/>
          <w:color w:val="000000"/>
          <w:sz w:val="20"/>
        </w:rPr>
      </w:pPr>
      <w:r>
        <w:rPr>
          <w:rFonts w:ascii="sans-serif" w:hAnsi="sans-serif"/>
          <w:b w:val="false"/>
          <w:color w:val="000000"/>
          <w:sz w:val="20"/>
        </w:rPr>
        <w:t>-tables attached-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Third-Quarter 2026 Results </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3350"/>
                <wp:effectExtent l="0" t="0" r="0" b="0"/>
                <wp:wrapNone/>
                <wp:docPr id="12" name="Frame1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8</w:t>
                      </w:r>
                    </w:p>
                  </w:txbxContent>
                </v:textbox>
                <w10:wrap type="none"/>
              </v:rect>
            </w:pict>
          </mc:Fallback>
        </mc:AlternateContent>
      </w:r>
    </w:p>
    <w:p>
      <w:pPr>
        <w:pStyle w:val="TextBody"/>
        <w:bidi w:val="0"/>
        <w:spacing w:lineRule="auto" w:line="288" w:before="120" w:after="283"/>
        <w:jc w:val="center"/>
        <w:rPr>
          <w:rFonts w:ascii="sans-serif" w:hAnsi="sans-serif"/>
          <w:b/>
          <w:color w:val="000000"/>
          <w:sz w:val="18"/>
        </w:rPr>
      </w:pPr>
      <w:r>
        <w:rPr>
          <w:rFonts w:ascii="sans-serif" w:hAnsi="sans-serif"/>
          <w:b/>
          <w:color w:val="000000"/>
          <w:sz w:val="18"/>
        </w:rPr>
        <w:t>UNITED AIRLINES HOLDINGS, INC.</w:t>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 xml:space="preserve">STATEMENTS OF CONSOLIDATED OPERATIONS (UNAUDITED) </w:t>
      </w:r>
    </w:p>
    <w:tbl>
      <w:tblPr>
        <w:tblW w:w="10731" w:type="dxa"/>
        <w:jc w:val="center"/>
        <w:tblInd w:w="0" w:type="dxa"/>
        <w:tblLayout w:type="fixed"/>
        <w:tblCellMar>
          <w:top w:w="28" w:type="dxa"/>
          <w:left w:w="28" w:type="dxa"/>
          <w:bottom w:w="28" w:type="dxa"/>
          <w:right w:w="28" w:type="dxa"/>
        </w:tblCellMar>
      </w:tblPr>
      <w:tblGrid>
        <w:gridCol w:w="1004"/>
        <w:gridCol w:w="368"/>
        <w:gridCol w:w="369"/>
        <w:gridCol w:w="109"/>
        <w:gridCol w:w="109"/>
        <w:gridCol w:w="109"/>
        <w:gridCol w:w="226"/>
        <w:gridCol w:w="826"/>
        <w:gridCol w:w="109"/>
        <w:gridCol w:w="109"/>
        <w:gridCol w:w="109"/>
        <w:gridCol w:w="109"/>
        <w:gridCol w:w="226"/>
        <w:gridCol w:w="826"/>
        <w:gridCol w:w="109"/>
        <w:gridCol w:w="109"/>
        <w:gridCol w:w="109"/>
        <w:gridCol w:w="109"/>
        <w:gridCol w:w="335"/>
        <w:gridCol w:w="335"/>
        <w:gridCol w:w="336"/>
        <w:gridCol w:w="109"/>
        <w:gridCol w:w="109"/>
        <w:gridCol w:w="109"/>
        <w:gridCol w:w="109"/>
        <w:gridCol w:w="109"/>
        <w:gridCol w:w="109"/>
        <w:gridCol w:w="226"/>
        <w:gridCol w:w="826"/>
        <w:gridCol w:w="109"/>
        <w:gridCol w:w="109"/>
        <w:gridCol w:w="109"/>
        <w:gridCol w:w="109"/>
        <w:gridCol w:w="226"/>
        <w:gridCol w:w="826"/>
        <w:gridCol w:w="109"/>
        <w:gridCol w:w="109"/>
        <w:gridCol w:w="109"/>
        <w:gridCol w:w="109"/>
        <w:gridCol w:w="307"/>
        <w:gridCol w:w="307"/>
        <w:gridCol w:w="437"/>
      </w:tblGrid>
      <w:tr>
        <w:trPr/>
        <w:tc>
          <w:tcPr>
            <w:tcW w:w="100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br/>
              <w:t>Increase/</w:t>
              <w:br/>
              <w:t xml:space="preserve">(Decrease)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br/>
              <w:t>Increase/</w:t>
              <w:br/>
              <w:t>(Decrease)</w:t>
            </w:r>
          </w:p>
        </w:tc>
      </w:tr>
      <w:tr>
        <w:trPr/>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 millions, except for percentage changes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Passenger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15.2 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Cargo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14.7 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operating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operating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14.8 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Salaries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Aircraft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53.3 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Landing fees and other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Aircraft maintenance materials and outside repairs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Regional capacity 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Distribution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16.9 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Aircraft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80.4 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Special charges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15.5 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Nonoperating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11.7 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Unrealized gains (losses) on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Miscellaneous,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(12.9)</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nonoperating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0.5 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Earnings per share,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10.3 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 weighted-average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327.4 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329.0 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(0.6)</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NM-Greater than 100% change or otherwise not meaningful.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r>
        <w:rPr>
          <w:rFonts w:ascii="sans-serif" w:hAnsi="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Third-Quarter 2026 Results </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3350"/>
                <wp:effectExtent l="0" t="0" r="0" b="0"/>
                <wp:wrapNone/>
                <wp:docPr id="13" name="Frame1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9</w:t>
                      </w:r>
                    </w:p>
                  </w:txbxContent>
                </v:textbox>
                <w10:wrap type="none"/>
              </v:rect>
            </w:pict>
          </mc:Fallback>
        </mc:AlternateContent>
      </w:r>
    </w:p>
    <w:p>
      <w:pPr>
        <w:pStyle w:val="TextBody"/>
        <w:bidi w:val="0"/>
        <w:spacing w:lineRule="auto" w:line="288" w:before="240" w:after="283"/>
        <w:jc w:val="center"/>
        <w:rPr>
          <w:rFonts w:ascii="sans-serif" w:hAnsi="sans-serif"/>
          <w:b/>
          <w:color w:val="000000"/>
          <w:sz w:val="18"/>
        </w:rPr>
      </w:pPr>
      <w:r>
        <w:rPr>
          <w:rFonts w:ascii="sans-serif" w:hAnsi="sans-serif"/>
          <w:b/>
          <w:color w:val="000000"/>
          <w:sz w:val="18"/>
        </w:rPr>
        <w:t>UNITED AIRLINES HOLDINGS, INC.</w:t>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PASSENGER REVENUE INFORMATION AND STATISTICS (UNAUDITED)</w:t>
      </w:r>
    </w:p>
    <w:p>
      <w:pPr>
        <w:pStyle w:val="TextBody"/>
        <w:bidi w:val="0"/>
        <w:spacing w:before="0" w:after="0"/>
        <w:jc w:val="center"/>
        <w:rPr/>
      </w:pPr>
      <w:r>
        <w:rPr/>
      </w:r>
    </w:p>
    <w:p>
      <w:pPr>
        <w:pStyle w:val="TextBody"/>
        <w:bidi w:val="0"/>
        <w:spacing w:lineRule="auto" w:line="288" w:before="0" w:after="0"/>
        <w:jc w:val="left"/>
        <w:rPr>
          <w:rFonts w:ascii="sans-serif" w:hAnsi="sans-serif"/>
          <w:b/>
          <w:color w:val="000000"/>
          <w:sz w:val="18"/>
        </w:rPr>
      </w:pPr>
      <w:r>
        <w:rPr>
          <w:rFonts w:ascii="sans-serif" w:hAnsi="sans-serif"/>
          <w:b/>
          <w:color w:val="000000"/>
          <w:sz w:val="18"/>
        </w:rPr>
        <w:t>Information is as follows (in millions, except for percentage changes):</w:t>
      </w:r>
    </w:p>
    <w:tbl>
      <w:tblPr>
        <w:tblW w:w="10323" w:type="dxa"/>
        <w:jc w:val="left"/>
        <w:tblInd w:w="0" w:type="dxa"/>
        <w:tblLayout w:type="fixed"/>
        <w:tblCellMar>
          <w:top w:w="28" w:type="dxa"/>
          <w:left w:w="28" w:type="dxa"/>
          <w:bottom w:w="28" w:type="dxa"/>
          <w:right w:w="28" w:type="dxa"/>
        </w:tblCellMar>
      </w:tblPr>
      <w:tblGrid>
        <w:gridCol w:w="663"/>
        <w:gridCol w:w="306"/>
        <w:gridCol w:w="307"/>
        <w:gridCol w:w="226"/>
        <w:gridCol w:w="826"/>
        <w:gridCol w:w="109"/>
        <w:gridCol w:w="109"/>
        <w:gridCol w:w="109"/>
        <w:gridCol w:w="109"/>
        <w:gridCol w:w="340"/>
        <w:gridCol w:w="340"/>
        <w:gridCol w:w="341"/>
        <w:gridCol w:w="109"/>
        <w:gridCol w:w="109"/>
        <w:gridCol w:w="109"/>
        <w:gridCol w:w="340"/>
        <w:gridCol w:w="340"/>
        <w:gridCol w:w="341"/>
        <w:gridCol w:w="109"/>
        <w:gridCol w:w="109"/>
        <w:gridCol w:w="109"/>
        <w:gridCol w:w="195"/>
        <w:gridCol w:w="195"/>
        <w:gridCol w:w="196"/>
        <w:gridCol w:w="109"/>
        <w:gridCol w:w="109"/>
        <w:gridCol w:w="109"/>
        <w:gridCol w:w="335"/>
        <w:gridCol w:w="335"/>
        <w:gridCol w:w="336"/>
        <w:gridCol w:w="109"/>
        <w:gridCol w:w="109"/>
        <w:gridCol w:w="109"/>
        <w:gridCol w:w="479"/>
        <w:gridCol w:w="347"/>
        <w:gridCol w:w="196"/>
        <w:gridCol w:w="109"/>
        <w:gridCol w:w="109"/>
        <w:gridCol w:w="109"/>
        <w:gridCol w:w="514"/>
        <w:gridCol w:w="312"/>
        <w:gridCol w:w="442"/>
      </w:tblGrid>
      <w:tr>
        <w:trPr/>
        <w:tc>
          <w:tcPr>
            <w:tcW w:w="66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3Q 2026</w:t>
              <w:br/>
              <w:t>Passenger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Passenger</w:t>
              <w:br/>
              <w:t>Revenue</w:t>
              <w:br/>
              <w:t>vs.</w:t>
              <w:br/>
              <w:t>3Q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Passenger Revenue per Available Seat Mile ("PRASM") vs. 3Q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Yield vs. 3Q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Available</w:t>
              <w:br/>
              <w:t>Seat Miles ("ASMs")</w:t>
              <w:br/>
              <w:t>vs.</w:t>
              <w:br/>
              <w:t>3Q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3Q 2026 ASMs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3Q 2026 Revenue Passenger Miles ("RPMs")</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Domestic</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48,854 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41,241 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Europe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18,663 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15,774 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Middle East/India/Africa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30.3%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(36.5%)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1,235 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Atlantic</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20,114 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17,009 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Pacific</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11,633 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9,130 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Latin America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7,937 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6,898 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39,684 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33,037 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Consolidated</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88,538 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74,278 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sans-serif" w:hAnsi="sans-serif"/>
          <w:b/>
          <w:color w:val="000000"/>
          <w:sz w:val="18"/>
        </w:rPr>
      </w:pPr>
      <w:r>
        <w:rPr>
          <w:rFonts w:ascii="sans-serif" w:hAnsi="sans-serif"/>
          <w:b/>
          <w:color w:val="000000"/>
          <w:sz w:val="18"/>
        </w:rPr>
        <w:t>Select operating statistics are as follows:</w:t>
      </w:r>
    </w:p>
    <w:tbl>
      <w:tblPr>
        <w:tblW w:w="10626" w:type="dxa"/>
        <w:jc w:val="center"/>
        <w:tblInd w:w="0" w:type="dxa"/>
        <w:tblLayout w:type="fixed"/>
        <w:tblCellMar>
          <w:top w:w="28" w:type="dxa"/>
          <w:left w:w="28" w:type="dxa"/>
          <w:bottom w:w="28" w:type="dxa"/>
          <w:right w:w="28" w:type="dxa"/>
        </w:tblCellMar>
      </w:tblPr>
      <w:tblGrid>
        <w:gridCol w:w="500"/>
        <w:gridCol w:w="387"/>
        <w:gridCol w:w="389"/>
        <w:gridCol w:w="109"/>
        <w:gridCol w:w="109"/>
        <w:gridCol w:w="109"/>
        <w:gridCol w:w="240"/>
        <w:gridCol w:w="586"/>
        <w:gridCol w:w="271"/>
        <w:gridCol w:w="109"/>
        <w:gridCol w:w="109"/>
        <w:gridCol w:w="109"/>
        <w:gridCol w:w="240"/>
        <w:gridCol w:w="586"/>
        <w:gridCol w:w="271"/>
        <w:gridCol w:w="109"/>
        <w:gridCol w:w="109"/>
        <w:gridCol w:w="109"/>
        <w:gridCol w:w="292"/>
        <w:gridCol w:w="294"/>
        <w:gridCol w:w="167"/>
        <w:gridCol w:w="167"/>
        <w:gridCol w:w="167"/>
        <w:gridCol w:w="171"/>
        <w:gridCol w:w="109"/>
        <w:gridCol w:w="109"/>
        <w:gridCol w:w="109"/>
        <w:gridCol w:w="299"/>
        <w:gridCol w:w="647"/>
        <w:gridCol w:w="271"/>
        <w:gridCol w:w="109"/>
        <w:gridCol w:w="109"/>
        <w:gridCol w:w="109"/>
        <w:gridCol w:w="299"/>
        <w:gridCol w:w="647"/>
        <w:gridCol w:w="271"/>
        <w:gridCol w:w="109"/>
        <w:gridCol w:w="109"/>
        <w:gridCol w:w="109"/>
        <w:gridCol w:w="335"/>
        <w:gridCol w:w="335"/>
        <w:gridCol w:w="336"/>
        <w:gridCol w:w="145"/>
        <w:gridCol w:w="145"/>
        <w:gridCol w:w="206"/>
      </w:tblGrid>
      <w:tr>
        <w:trPr/>
        <w:tc>
          <w:tcPr>
            <w:tcW w:w="50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br/>
              <w:t>Increase/</w:t>
              <w:br/>
              <w:t xml:space="preserve">(Decrease)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br/>
              <w:t>Increase/</w:t>
              <w:br/>
              <w:t>(Decrease)</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Passengers (thousands)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49,527 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48,382 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140,705 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135,374 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RPMs (millions)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74,278 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73,769 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210,428 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203,374 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ASMs (millions)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88,538 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87,417 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253,516 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246,919 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Passenger load factor: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pts.</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Domestic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pts.</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pts.</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PRASM (cents)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revenue per available seat mile ("TRASM") (cents)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Average yield per RPM (cents)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Cargo revenue ton miles (millions)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Aircraft in fleet at end of period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Average stage length (miles) (g)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Employee headcount, as of September 30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Cost per ASM ("CASM") (cents)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CASM-ex (cents) (h)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Average aircraft fuel price per gallon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Fuel gallons consumed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(a) The number of revenue passengers measured by each flight segment flown.</w:t>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(b) The number of scheduled miles flown by revenue passengers.</w:t>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(c) The number of seats available for passengers multiplied by the number of scheduled miles those seats are flown.</w:t>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(d) RPMs divided by ASMs.</w:t>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(e) The average passenger revenue received for each RPM flown.</w:t>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(f) The number of cargo revenue tons transported multiplied by the number of miles flown.</w:t>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(g) Average distance a flight travels weighted for size of aircraft.</w:t>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(h) CASM-ex is CASM less the impact of fuel expense, profit sharing, special charges and third-party business expenses. See NON-GAAP FINANCIAL INFORMATION for a reconciliation of CASM-ex to CASM, the most comparable GAAP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Third-Quarter 2026 Results </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3350"/>
                <wp:effectExtent l="0" t="0" r="0" b="0"/>
                <wp:wrapNone/>
                <wp:docPr id="14" name="Frame1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10</w:t>
                      </w:r>
                    </w:p>
                  </w:txbxContent>
                </v:textbox>
                <w10:wrap type="none"/>
              </v:rect>
            </w:pict>
          </mc:Fallback>
        </mc:AlternateContent>
      </w:r>
    </w:p>
    <w:p>
      <w:pPr>
        <w:pStyle w:val="TextBody"/>
        <w:bidi w:val="0"/>
        <w:spacing w:lineRule="auto" w:line="288" w:before="240" w:after="283"/>
        <w:jc w:val="center"/>
        <w:rPr>
          <w:rFonts w:ascii="sans-serif" w:hAnsi="sans-serif"/>
          <w:b/>
          <w:color w:val="000000"/>
          <w:sz w:val="18"/>
        </w:rPr>
      </w:pPr>
      <w:r>
        <w:rPr>
          <w:rFonts w:ascii="sans-serif" w:hAnsi="sans-serif"/>
          <w:b/>
          <w:color w:val="000000"/>
          <w:sz w:val="18"/>
        </w:rPr>
        <w:t>UNITED AIRLINES HOLDINGS, INC.</w:t>
      </w:r>
    </w:p>
    <w:p>
      <w:pPr>
        <w:pStyle w:val="TextBody"/>
        <w:bidi w:val="0"/>
        <w:spacing w:lineRule="auto" w:line="288" w:before="60" w:after="100"/>
        <w:jc w:val="left"/>
        <w:rPr/>
      </w:pPr>
      <w:r>
        <w:rPr>
          <w:rFonts w:ascii="sans-serif" w:hAnsi="sans-serif"/>
          <w:b w:val="false"/>
          <w:color w:val="000000"/>
          <w:sz w:val="12"/>
        </w:rPr>
        <w:t xml:space="preserve">2 </w:t>
      </w:r>
      <w:r>
        <w:rPr>
          <w:rFonts w:ascii="sans-serif" w:hAnsi="sans-serif"/>
          <w:b w:val="false"/>
          <w:color w:val="000000"/>
          <w:sz w:val="18"/>
        </w:rPr>
        <w:t xml:space="preserve">NON-GAAP FINANCIAL INFORMATION </w:t>
      </w:r>
    </w:p>
    <w:p>
      <w:pPr>
        <w:pStyle w:val="TextBody"/>
        <w:bidi w:val="0"/>
        <w:spacing w:lineRule="auto" w:line="288" w:before="60" w:after="100"/>
        <w:jc w:val="left"/>
        <w:rPr>
          <w:rFonts w:ascii="sans-serif" w:hAnsi="sans-serif"/>
          <w:b w:val="false"/>
          <w:color w:val="000000"/>
          <w:sz w:val="18"/>
        </w:rPr>
      </w:pPr>
      <w:r>
        <w:rPr>
          <w:rFonts w:ascii="sans-serif" w:hAnsi="sans-serif"/>
          <w:b w:val="false"/>
          <w:color w:val="000000"/>
          <w:sz w:val="18"/>
        </w:rPr>
        <w:t xml:space="preserve">UAL evaluates its financial performance utilizing various accounting principles generally accepted in the United States of America (GAAP) and non-GAAP financial measures. The non-GAAP financial measures are provided as supplemental information to the financial measures presented in this press release that are calculated and presented in accordance with GAAP and are presented because management believes that they supplement or enhance management's, analysts' and investors' overall understanding of the company's underlying financial performance and trends and facilitate comparisons among current, past and future periods. </w:t>
      </w:r>
    </w:p>
    <w:p>
      <w:pPr>
        <w:pStyle w:val="TextBody"/>
        <w:bidi w:val="0"/>
        <w:spacing w:lineRule="auto" w:line="276" w:before="100" w:after="283"/>
        <w:jc w:val="left"/>
        <w:rPr>
          <w:rFonts w:ascii="sans-serif" w:hAnsi="sans-serif"/>
          <w:b w:val="false"/>
          <w:color w:val="000000"/>
          <w:sz w:val="18"/>
        </w:rPr>
      </w:pPr>
      <w:r>
        <w:rPr>
          <w:rFonts w:ascii="sans-serif" w:hAnsi="sans-serif"/>
          <w:b w:val="false"/>
          <w:color w:val="000000"/>
          <w:sz w:val="18"/>
        </w:rPr>
        <w:t>Because the non-GAAP financial measures are not calculated in accordance with GAAP, they should not be considered superior to and are not intended to be considered in isolation or as a substitute for the related GAAP financial measures presented in the press release and may not be the same as or comparable to similarly titled measures presented by other companies due to possible differences in method and in the items being adjusted. We encourage investors to review our financial statements and publicly-filed reports in their entirety and not to rely on any single financial measure.</w:t>
      </w:r>
    </w:p>
    <w:p>
      <w:pPr>
        <w:pStyle w:val="TextBody"/>
        <w:bidi w:val="0"/>
        <w:spacing w:lineRule="auto" w:line="276" w:before="100" w:after="283"/>
        <w:jc w:val="left"/>
        <w:rPr>
          <w:rFonts w:ascii="sans-serif" w:hAnsi="sans-serif"/>
          <w:b w:val="false"/>
          <w:color w:val="000000"/>
          <w:sz w:val="18"/>
        </w:rPr>
      </w:pPr>
      <w:r>
        <w:rPr>
          <w:rFonts w:ascii="sans-serif" w:hAnsi="sans-serif"/>
          <w:b w:val="false"/>
          <w:color w:val="000000"/>
          <w:sz w:val="18"/>
        </w:rPr>
        <w:t>The information below provides an explanation of certain adjustments reflected in the non-GAAP financial measures and shows a reconciliation of non-GAAP financial measures reported in this press release to the most directly comparable GAAP financial measures. Within the financial tables presented, certain columns and rows may not add due to the use of rounded numbers. Percentages, ratios and earnings per share amounts presented are calculated from the underlying amounts.</w:t>
      </w:r>
    </w:p>
    <w:p>
      <w:pPr>
        <w:pStyle w:val="TextBody"/>
        <w:bidi w:val="0"/>
        <w:spacing w:lineRule="auto" w:line="276" w:before="100" w:after="283"/>
        <w:jc w:val="left"/>
        <w:rPr/>
      </w:pPr>
      <w:r>
        <w:rPr>
          <w:rFonts w:ascii="sans-serif" w:hAnsi="sans-serif"/>
          <w:b/>
          <w:color w:val="000000"/>
          <w:sz w:val="18"/>
        </w:rPr>
        <w:t>CASM-ex:</w:t>
      </w:r>
      <w:r>
        <w:rPr>
          <w:color w:val="000000"/>
        </w:rPr>
        <w:t xml:space="preserve"> </w:t>
      </w:r>
      <w:r>
        <w:rPr>
          <w:rFonts w:ascii="sans-serif" w:hAnsi="sans-serif"/>
          <w:b w:val="false"/>
          <w:color w:val="000000"/>
          <w:sz w:val="18"/>
        </w:rPr>
        <w:t>CASM is a common metric used in the airline industry to measure an airline's cost structure and efficiency. UAL reports CASM excluding special charges, third-party business expenses, fuel expense, and profit sharing. UAL believes that adjusting for special charges is useful to investors because those items are not indicative of UAL's ongoing performance. UAL also believes that excluding third-party business expenses, such as maintenance, flight academy, ground handling and catering services for third parties, provides more meaningful disclosure because these expenses are not directly related to UAL's core business. UAL also believes that excluding fuel expense from certain measures is useful to investors because it provides an additional measure of management's performance excluding the effects of a significant cost item over which management has limited influence. UAL excludes profit sharing because it believes that this exclusion allows investors to better understand and analyze UAL's operating cost performance and provides a more meaningful comparison of our core operating costs to the airline industry.</w:t>
      </w:r>
    </w:p>
    <w:p>
      <w:pPr>
        <w:pStyle w:val="TextBody"/>
        <w:bidi w:val="0"/>
        <w:spacing w:lineRule="auto" w:line="276" w:before="100" w:after="283"/>
        <w:jc w:val="left"/>
        <w:rPr/>
      </w:pPr>
      <w:r>
        <w:rPr>
          <w:rFonts w:ascii="sans-serif" w:hAnsi="sans-serif"/>
          <w:b/>
          <w:color w:val="000000"/>
          <w:sz w:val="18"/>
        </w:rPr>
        <w:t xml:space="preserve">Adjusted EBITDA and Adjusted EBITDAR: </w:t>
      </w:r>
      <w:r>
        <w:rPr>
          <w:rFonts w:ascii="sans-serif" w:hAnsi="sans-serif"/>
          <w:b w:val="false"/>
          <w:color w:val="000000"/>
          <w:sz w:val="18"/>
        </w:rPr>
        <w:t xml:space="preserve">We calculate Adjusted EBITDA by adding interest, taxes, depreciation and amortization to net income and adjusting for special charges, nonoperating unrealized (gains) losses on investments, net and nonoperating debt extinguishment and modification fees. UAL believes that adjusting for these items is useful to investors because they are not indicative of UAL's ongoing performance. Adjusted EBITDA is further adjusted by the fixed portion of operating lease expense to calculate Adjusted EBITDAR to provide investors with enhanced comparability to our peers and better reflect our performance. </w:t>
      </w:r>
    </w:p>
    <w:p>
      <w:pPr>
        <w:pStyle w:val="TextBody"/>
        <w:bidi w:val="0"/>
        <w:spacing w:lineRule="auto" w:line="276" w:before="100" w:after="283"/>
        <w:jc w:val="left"/>
        <w:rPr/>
      </w:pPr>
      <w:r>
        <w:rPr>
          <w:rFonts w:ascii="sans-serif" w:hAnsi="sans-serif"/>
          <w:b/>
          <w:color w:val="000000"/>
          <w:sz w:val="18"/>
        </w:rPr>
        <w:t xml:space="preserve">Adjusted Capital Expenditures: </w:t>
      </w:r>
      <w:r>
        <w:rPr>
          <w:rFonts w:ascii="sans-serif" w:hAnsi="sans-serif"/>
          <w:b w:val="false"/>
          <w:color w:val="000000"/>
          <w:sz w:val="18"/>
        </w:rPr>
        <w:t xml:space="preserve">UAL believes that adjusting capital expenditures for assets acquired through the issuance or modification of debt, finance leases and other financial liabilities is useful to investors in order to appropriately reflect the total amounts spent on capital expenditures. </w:t>
      </w:r>
    </w:p>
    <w:p>
      <w:pPr>
        <w:pStyle w:val="TextBody"/>
        <w:bidi w:val="0"/>
        <w:spacing w:lineRule="auto" w:line="276" w:before="100" w:after="283"/>
        <w:jc w:val="left"/>
        <w:rPr/>
      </w:pPr>
      <w:r>
        <w:rPr>
          <w:rFonts w:ascii="sans-serif" w:hAnsi="sans-serif"/>
          <w:b/>
          <w:color w:val="000000"/>
          <w:sz w:val="18"/>
        </w:rPr>
        <w:t>Free Cash Flow:</w:t>
      </w:r>
      <w:r>
        <w:rPr>
          <w:color w:val="000000"/>
        </w:rPr>
        <w:t xml:space="preserve"> </w:t>
      </w:r>
      <w:r>
        <w:rPr>
          <w:rFonts w:ascii="sans-serif" w:hAnsi="sans-serif"/>
          <w:b w:val="false"/>
          <w:color w:val="000000"/>
          <w:sz w:val="18"/>
        </w:rPr>
        <w:t xml:space="preserve">We define free cash flow as the sum of net cash from operating activities and net cash from investing activities, adjusted for the net change in short-term investments and the net change in restricted cash. We believe adjusting for short-term investments and restricted cash activity provides investors a better understanding of the company's free cash flow generated by our core operations. We also believe our methodology provides investors with enhanced comparability to our peers and better reflects our performance. </w:t>
      </w:r>
    </w:p>
    <w:p>
      <w:pPr>
        <w:pStyle w:val="TextBody"/>
        <w:bidi w:val="0"/>
        <w:spacing w:lineRule="auto" w:line="276" w:before="100" w:after="283"/>
        <w:jc w:val="left"/>
        <w:rPr/>
      </w:pPr>
      <w:r>
        <w:rPr>
          <w:rFonts w:ascii="sans-serif" w:hAnsi="sans-serif"/>
          <w:b/>
          <w:color w:val="000000"/>
          <w:sz w:val="18"/>
        </w:rPr>
        <w:t>Adjusted Total Debt and Adjusted Net Debt:</w:t>
      </w:r>
      <w:r>
        <w:rPr>
          <w:color w:val="000000"/>
        </w:rPr>
        <w:t xml:space="preserve"> </w:t>
      </w:r>
      <w:r>
        <w:rPr>
          <w:rFonts w:ascii="sans-serif" w:hAnsi="sans-serif"/>
          <w:b w:val="false"/>
          <w:color w:val="000000"/>
          <w:sz w:val="18"/>
        </w:rPr>
        <w:t>Adjusted total debt is a non-GAAP financial measure that includes current and long-term debt, finance lease obligations and other financial liabilities, current and noncurrent operating lease obligations and noncurrent pension and postretirement obligations. Adjusted net debt is adjusted total debt minus cash, cash equivalents and short-term investments. UAL provides adjusted total debt and adjusted net debt because we believe these measures provide useful supplemental information for assessing the company's debt and debt-like obligation profile.</w:t>
      </w:r>
      <w:r>
        <w:rPr>
          <w:color w:val="FFFFFF"/>
        </w:rPr>
        <w:t xml:space="preserve"> </w:t>
      </w:r>
    </w:p>
    <w:p>
      <w:pPr>
        <w:pStyle w:val="TextBody"/>
        <w:bidi w:val="0"/>
        <w:spacing w:lineRule="auto" w:line="276" w:before="100" w:after="283"/>
        <w:jc w:val="left"/>
        <w:rPr/>
      </w:pPr>
      <w:r>
        <w:rPr>
          <w:rFonts w:ascii="sans-serif" w:hAnsi="sans-serif"/>
          <w:b/>
          <w:color w:val="000000"/>
          <w:sz w:val="18"/>
        </w:rPr>
        <w:t xml:space="preserve">Net Leverage: </w:t>
      </w:r>
      <w:r>
        <w:rPr>
          <w:rFonts w:ascii="sans-serif" w:hAnsi="sans-serif"/>
          <w:b w:val="false"/>
          <w:color w:val="000000"/>
          <w:sz w:val="18"/>
        </w:rPr>
        <w:t xml:space="preserve">Net leverage is a non-GAAP financial measure that is equal to adjusted net debt divided by trailing twelve month Adjusted EBITDAR. UAL provides net leverage because we believe it provides useful supplemental information for assessing the company's debt level. See the above descriptions of Adjusted Net Debt and Adjusted EBITDAR. </w:t>
      </w:r>
    </w:p>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755"/>
        <w:gridCol w:w="663"/>
        <w:gridCol w:w="665"/>
        <w:gridCol w:w="109"/>
        <w:gridCol w:w="109"/>
        <w:gridCol w:w="109"/>
        <w:gridCol w:w="377"/>
        <w:gridCol w:w="340"/>
        <w:gridCol w:w="185"/>
        <w:gridCol w:w="185"/>
        <w:gridCol w:w="185"/>
        <w:gridCol w:w="185"/>
        <w:gridCol w:w="377"/>
        <w:gridCol w:w="340"/>
        <w:gridCol w:w="191"/>
        <w:gridCol w:w="109"/>
        <w:gridCol w:w="109"/>
        <w:gridCol w:w="109"/>
        <w:gridCol w:w="340"/>
        <w:gridCol w:w="340"/>
        <w:gridCol w:w="342"/>
        <w:gridCol w:w="109"/>
        <w:gridCol w:w="109"/>
        <w:gridCol w:w="109"/>
        <w:gridCol w:w="365"/>
        <w:gridCol w:w="346"/>
        <w:gridCol w:w="182"/>
        <w:gridCol w:w="182"/>
        <w:gridCol w:w="182"/>
        <w:gridCol w:w="182"/>
        <w:gridCol w:w="365"/>
        <w:gridCol w:w="346"/>
        <w:gridCol w:w="188"/>
        <w:gridCol w:w="109"/>
        <w:gridCol w:w="109"/>
        <w:gridCol w:w="109"/>
        <w:gridCol w:w="314"/>
        <w:gridCol w:w="314"/>
        <w:gridCol w:w="461"/>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b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br/>
              <w:t>Increase/</w:t>
              <w:br/>
              <w:t>(Decrease)</w:t>
            </w:r>
          </w:p>
        </w:tc>
      </w:tr>
      <w:tr>
        <w:trPr/>
        <w:tc>
          <w:tcPr>
            <w:tcW w:w="208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18"/>
              </w:rPr>
              <w:t>CASM-ex</w:t>
            </w:r>
            <w:r>
              <w:rPr>
                <w:color w:val="000000"/>
              </w:rPr>
              <w:t xml:space="preserve"> </w:t>
            </w:r>
            <w:r>
              <w:rPr>
                <w:rFonts w:ascii="sans-serif" w:hAnsi="sans-serif"/>
                <w:b w:val="false"/>
                <w:color w:val="000000"/>
                <w:sz w:val="18"/>
              </w:rPr>
              <w:t>(in cents, except for percentage changes)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CASM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18.56 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15.82 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17.3 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18.39 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16.34 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12.5 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Fuel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59.5 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49.3 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Profit sharing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(36.7)</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(37.2)</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Third-party business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10.6 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Special charges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8"/>
              </w:rPr>
              <w:t>CASM-ex (Non-GAAP)</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13.09 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12.15 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13.36 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12.53 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Third-Quarter 2026 Results </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3350"/>
                <wp:effectExtent l="0" t="0" r="0" b="0"/>
                <wp:wrapNone/>
                <wp:docPr id="15" name="Frame1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11</w:t>
                      </w:r>
                    </w:p>
                  </w:txbxContent>
                </v:textbox>
                <w10:wrap type="none"/>
              </v:rect>
            </w:pict>
          </mc:Fallback>
        </mc:AlternateContent>
      </w:r>
    </w:p>
    <w:p>
      <w:pPr>
        <w:pStyle w:val="TextBody"/>
        <w:bidi w:val="0"/>
        <w:spacing w:lineRule="auto" w:line="288" w:before="100" w:after="40"/>
        <w:jc w:val="center"/>
        <w:rPr>
          <w:rFonts w:ascii="sans-serif" w:hAnsi="sans-serif"/>
          <w:b/>
          <w:color w:val="000000"/>
          <w:sz w:val="18"/>
        </w:rPr>
      </w:pPr>
      <w:r>
        <w:rPr>
          <w:rFonts w:ascii="sans-serif" w:hAnsi="sans-serif"/>
          <w:b/>
          <w:color w:val="000000"/>
          <w:sz w:val="18"/>
        </w:rPr>
        <w:t>UNITED AIRLINES HOLDINGS, INC.</w:t>
      </w:r>
    </w:p>
    <w:p>
      <w:pPr>
        <w:pStyle w:val="TextBody"/>
        <w:bidi w:val="0"/>
        <w:spacing w:lineRule="auto" w:line="288" w:before="100" w:after="40"/>
        <w:jc w:val="center"/>
        <w:rPr>
          <w:rFonts w:ascii="sans-serif" w:hAnsi="sans-serif"/>
          <w:b w:val="false"/>
          <w:color w:val="000000"/>
          <w:sz w:val="18"/>
        </w:rPr>
      </w:pPr>
      <w:r>
        <w:rPr>
          <w:rFonts w:ascii="sans-serif" w:hAnsi="sans-serif"/>
          <w:b w:val="false"/>
          <w:color w:val="000000"/>
          <w:sz w:val="18"/>
        </w:rPr>
        <w:t>NON-GAAP FINANCIAL INFORMATION (Continued)</w:t>
      </w:r>
    </w:p>
    <w:tbl>
      <w:tblPr>
        <w:tblW w:w="10771" w:type="dxa"/>
        <w:jc w:val="left"/>
        <w:tblInd w:w="0" w:type="dxa"/>
        <w:tblLayout w:type="fixed"/>
        <w:tblCellMar>
          <w:top w:w="28" w:type="dxa"/>
          <w:left w:w="28" w:type="dxa"/>
          <w:bottom w:w="28" w:type="dxa"/>
          <w:right w:w="28" w:type="dxa"/>
        </w:tblCellMar>
      </w:tblPr>
      <w:tblGrid>
        <w:gridCol w:w="885"/>
        <w:gridCol w:w="330"/>
        <w:gridCol w:w="331"/>
        <w:gridCol w:w="109"/>
        <w:gridCol w:w="109"/>
        <w:gridCol w:w="109"/>
        <w:gridCol w:w="226"/>
        <w:gridCol w:w="706"/>
        <w:gridCol w:w="271"/>
        <w:gridCol w:w="109"/>
        <w:gridCol w:w="109"/>
        <w:gridCol w:w="109"/>
        <w:gridCol w:w="226"/>
        <w:gridCol w:w="706"/>
        <w:gridCol w:w="271"/>
        <w:gridCol w:w="109"/>
        <w:gridCol w:w="109"/>
        <w:gridCol w:w="109"/>
        <w:gridCol w:w="226"/>
        <w:gridCol w:w="706"/>
        <w:gridCol w:w="271"/>
        <w:gridCol w:w="109"/>
        <w:gridCol w:w="109"/>
        <w:gridCol w:w="109"/>
        <w:gridCol w:w="226"/>
        <w:gridCol w:w="706"/>
        <w:gridCol w:w="271"/>
        <w:gridCol w:w="109"/>
        <w:gridCol w:w="109"/>
        <w:gridCol w:w="109"/>
        <w:gridCol w:w="226"/>
        <w:gridCol w:w="706"/>
        <w:gridCol w:w="271"/>
        <w:gridCol w:w="109"/>
        <w:gridCol w:w="109"/>
        <w:gridCol w:w="109"/>
        <w:gridCol w:w="226"/>
        <w:gridCol w:w="706"/>
        <w:gridCol w:w="316"/>
      </w:tblGrid>
      <w:tr>
        <w:trPr/>
        <w:tc>
          <w:tcPr>
            <w:tcW w:w="88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Twelve Months Ended September 30,</w:t>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18"/>
              </w:rPr>
              <w:t>Adjusted EBITDA and Adjusted EBITDAR</w:t>
            </w:r>
            <w:r>
              <w:rPr>
                <w:color w:val="000000"/>
              </w:rPr>
              <w:t xml:space="preserve"> </w:t>
            </w:r>
            <w:r>
              <w:rPr>
                <w:rFonts w:ascii="sans-serif" w:hAnsi="sans-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3,295 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expense, net of capitalized interest and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Special charges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Nonoperating unrealized (gains) losses on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Nonoperating debt extinguishment and modification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EBITDA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8,229 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Adjusted EBITDA margin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11.4 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13.7 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10.3 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13.5 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11.2 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14.1 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EBITDA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8,229 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Fixed portion of 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275 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790 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1,028 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866 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EBITDAR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9,095 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10"/>
        <w:gridCol w:w="1415"/>
        <w:gridCol w:w="1421"/>
        <w:gridCol w:w="254"/>
        <w:gridCol w:w="794"/>
        <w:gridCol w:w="122"/>
        <w:gridCol w:w="122"/>
        <w:gridCol w:w="122"/>
        <w:gridCol w:w="122"/>
        <w:gridCol w:w="254"/>
        <w:gridCol w:w="794"/>
        <w:gridCol w:w="122"/>
        <w:gridCol w:w="109"/>
        <w:gridCol w:w="109"/>
        <w:gridCol w:w="109"/>
        <w:gridCol w:w="250"/>
        <w:gridCol w:w="783"/>
        <w:gridCol w:w="120"/>
        <w:gridCol w:w="120"/>
        <w:gridCol w:w="120"/>
        <w:gridCol w:w="120"/>
        <w:gridCol w:w="250"/>
        <w:gridCol w:w="783"/>
        <w:gridCol w:w="180"/>
      </w:tblGrid>
      <w:tr>
        <w:trPr/>
        <w:tc>
          <w:tcPr>
            <w:tcW w:w="161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Nine Months Ended September 30,</w:t>
            </w:r>
          </w:p>
        </w:tc>
      </w:tr>
      <w:tr>
        <w:trPr/>
        <w:tc>
          <w:tcPr>
            <w:tcW w:w="44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18"/>
              </w:rPr>
              <w:t>Adjusted Capital Expenditures</w:t>
            </w:r>
            <w:r>
              <w:rPr>
                <w:color w:val="000000"/>
              </w:rPr>
              <w:t xml:space="preserve"> </w:t>
            </w:r>
            <w:r>
              <w:rPr>
                <w:rFonts w:ascii="sans-serif" w:hAnsi="sans-serif"/>
                <w:b w:val="false"/>
                <w:color w:val="000000"/>
                <w:sz w:val="18"/>
              </w:rPr>
              <w:t>(in millions)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Capital expenditures, net of flight equipment purchase deposit returns (GAAP)</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2,139 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1,464 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5,154 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3,984 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Property and equipment acquired through the issuance or modification of debt, finance leases and other financial liabilities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140 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leases converted to finance leases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capital expenditures (Non-GAAP)</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2,193 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1,881 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5,360 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4,349 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26"/>
        <w:gridCol w:w="386"/>
        <w:gridCol w:w="389"/>
        <w:gridCol w:w="109"/>
        <w:gridCol w:w="109"/>
        <w:gridCol w:w="109"/>
        <w:gridCol w:w="235"/>
        <w:gridCol w:w="761"/>
        <w:gridCol w:w="113"/>
        <w:gridCol w:w="113"/>
        <w:gridCol w:w="113"/>
        <w:gridCol w:w="113"/>
        <w:gridCol w:w="235"/>
        <w:gridCol w:w="734"/>
        <w:gridCol w:w="113"/>
        <w:gridCol w:w="109"/>
        <w:gridCol w:w="109"/>
        <w:gridCol w:w="109"/>
        <w:gridCol w:w="235"/>
        <w:gridCol w:w="735"/>
        <w:gridCol w:w="113"/>
        <w:gridCol w:w="113"/>
        <w:gridCol w:w="113"/>
        <w:gridCol w:w="113"/>
        <w:gridCol w:w="235"/>
        <w:gridCol w:w="735"/>
        <w:gridCol w:w="113"/>
        <w:gridCol w:w="109"/>
        <w:gridCol w:w="109"/>
        <w:gridCol w:w="109"/>
        <w:gridCol w:w="237"/>
        <w:gridCol w:w="741"/>
        <w:gridCol w:w="114"/>
        <w:gridCol w:w="114"/>
        <w:gridCol w:w="114"/>
        <w:gridCol w:w="114"/>
        <w:gridCol w:w="237"/>
        <w:gridCol w:w="741"/>
        <w:gridCol w:w="176"/>
      </w:tblGrid>
      <w:tr>
        <w:trPr/>
        <w:tc>
          <w:tcPr>
            <w:tcW w:w="82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Twelve Months Ended September 30,</w:t>
            </w:r>
          </w:p>
        </w:tc>
      </w:tr>
      <w:tr>
        <w:trPr/>
        <w:tc>
          <w:tcPr>
            <w:tcW w:w="16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18"/>
              </w:rPr>
              <w:t>Free Cash Flow</w:t>
            </w:r>
            <w:r>
              <w:rPr>
                <w:color w:val="000000"/>
              </w:rPr>
              <w:t xml:space="preserve"> </w:t>
            </w:r>
            <w:r>
              <w:rPr>
                <w:rFonts w:ascii="sans-serif" w:hAnsi="sans-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operating activities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1,218 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6,874 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7,145 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8,160 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9,370 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used in investing activities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(3,839)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(1,743)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(7,192)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(4,785)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(8,758)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change in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1,534 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337 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1,707 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893 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1,405 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shd w:fill="FFFFFF" w:val="clear"/>
              </w:rPr>
            </w:pPr>
            <w:r>
              <w:rPr>
                <w:rFonts w:ascii="sans-serif" w:hAnsi="sans-serif"/>
                <w:b w:val="false"/>
                <w:color w:val="000000"/>
                <w:sz w:val="18"/>
                <w:shd w:fill="FFFFFF" w:val="clear"/>
              </w:rPr>
              <w:t>1,247 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change in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Free cash flow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(1,843)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1,382 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3,289 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4,191 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69"/>
        <w:gridCol w:w="1682"/>
        <w:gridCol w:w="1692"/>
        <w:gridCol w:w="109"/>
        <w:gridCol w:w="109"/>
        <w:gridCol w:w="109"/>
        <w:gridCol w:w="226"/>
        <w:gridCol w:w="826"/>
        <w:gridCol w:w="109"/>
        <w:gridCol w:w="109"/>
        <w:gridCol w:w="109"/>
        <w:gridCol w:w="109"/>
        <w:gridCol w:w="226"/>
        <w:gridCol w:w="826"/>
        <w:gridCol w:w="109"/>
        <w:gridCol w:w="109"/>
        <w:gridCol w:w="109"/>
        <w:gridCol w:w="109"/>
        <w:gridCol w:w="226"/>
        <w:gridCol w:w="526"/>
        <w:gridCol w:w="109"/>
        <w:gridCol w:w="145"/>
        <w:gridCol w:w="145"/>
        <w:gridCol w:w="208"/>
      </w:tblGrid>
      <w:tr>
        <w:trPr/>
        <w:tc>
          <w:tcPr>
            <w:tcW w:w="2169"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5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Increase/</w:t>
              <w:br/>
              <w:t xml:space="preserve">(Decrease) </w:t>
            </w:r>
          </w:p>
        </w:tc>
      </w:tr>
      <w:tr>
        <w:trPr/>
        <w:tc>
          <w:tcPr>
            <w:tcW w:w="554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18"/>
              </w:rPr>
              <w:t>Adjusted Total Debt, Adjusted Net Debt and Net Leverage</w:t>
            </w:r>
            <w:r>
              <w:rPr>
                <w:color w:val="000000"/>
              </w:rPr>
              <w:t xml:space="preserve"> </w:t>
            </w:r>
            <w:r>
              <w:rPr>
                <w:rFonts w:ascii="sans-serif" w:hAnsi="sans-serif"/>
                <w:b w:val="false"/>
                <w:color w:val="000000"/>
                <w:sz w:val="18"/>
              </w:rPr>
              <w:t>(in millions, except ratios)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Debt, finance lease obligations and other financial liabilities - current and noncurrent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obligations - current and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Pension and postretirement liabilities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total debt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Less: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6,648 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6,730 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8"/>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net debt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leverage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Third-Quarter 2026 Results </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3350"/>
                <wp:effectExtent l="0" t="0" r="0" b="0"/>
                <wp:wrapNone/>
                <wp:docPr id="16" name="Frame1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12</w:t>
                      </w:r>
                    </w:p>
                  </w:txbxContent>
                </v:textbox>
                <w10:wrap type="none"/>
              </v:rect>
            </w:pict>
          </mc:Fallback>
        </mc:AlternateContent>
      </w:r>
    </w:p>
    <w:p>
      <w:pPr>
        <w:pStyle w:val="TextBody"/>
        <w:bidi w:val="0"/>
        <w:spacing w:lineRule="auto" w:line="288" w:before="240" w:after="283"/>
        <w:jc w:val="center"/>
        <w:rPr>
          <w:rFonts w:ascii="sans-serif" w:hAnsi="sans-serif"/>
          <w:b/>
          <w:color w:val="000000"/>
          <w:sz w:val="18"/>
        </w:rPr>
      </w:pPr>
      <w:r>
        <w:rPr>
          <w:rFonts w:ascii="sans-serif" w:hAnsi="sans-serif"/>
          <w:b/>
          <w:color w:val="000000"/>
          <w:sz w:val="18"/>
        </w:rPr>
        <w:t>UNITED AIRLINES HOLDINGS, INC.</w:t>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NON-GAAP FINANCIAL INFORMATION (Continued)</w:t>
      </w:r>
    </w:p>
    <w:tbl>
      <w:tblPr>
        <w:tblW w:w="11248" w:type="dxa"/>
        <w:jc w:val="left"/>
        <w:tblInd w:w="0" w:type="dxa"/>
        <w:tblLayout w:type="fixed"/>
        <w:tblCellMar>
          <w:top w:w="28" w:type="dxa"/>
          <w:left w:w="28" w:type="dxa"/>
          <w:bottom w:w="28" w:type="dxa"/>
          <w:right w:w="28" w:type="dxa"/>
        </w:tblCellMar>
      </w:tblPr>
      <w:tblGrid>
        <w:gridCol w:w="809"/>
        <w:gridCol w:w="368"/>
        <w:gridCol w:w="369"/>
        <w:gridCol w:w="226"/>
        <w:gridCol w:w="826"/>
        <w:gridCol w:w="271"/>
        <w:gridCol w:w="109"/>
        <w:gridCol w:w="109"/>
        <w:gridCol w:w="109"/>
        <w:gridCol w:w="226"/>
        <w:gridCol w:w="826"/>
        <w:gridCol w:w="271"/>
        <w:gridCol w:w="109"/>
        <w:gridCol w:w="109"/>
        <w:gridCol w:w="109"/>
        <w:gridCol w:w="300"/>
        <w:gridCol w:w="301"/>
        <w:gridCol w:w="167"/>
        <w:gridCol w:w="167"/>
        <w:gridCol w:w="167"/>
        <w:gridCol w:w="171"/>
        <w:gridCol w:w="109"/>
        <w:gridCol w:w="109"/>
        <w:gridCol w:w="109"/>
        <w:gridCol w:w="226"/>
        <w:gridCol w:w="826"/>
        <w:gridCol w:w="271"/>
        <w:gridCol w:w="109"/>
        <w:gridCol w:w="109"/>
        <w:gridCol w:w="109"/>
        <w:gridCol w:w="226"/>
        <w:gridCol w:w="826"/>
        <w:gridCol w:w="271"/>
        <w:gridCol w:w="109"/>
        <w:gridCol w:w="109"/>
        <w:gridCol w:w="109"/>
        <w:gridCol w:w="335"/>
        <w:gridCol w:w="335"/>
        <w:gridCol w:w="336"/>
        <w:gridCol w:w="145"/>
        <w:gridCol w:w="145"/>
        <w:gridCol w:w="206"/>
      </w:tblGrid>
      <w:tr>
        <w:trPr/>
        <w:tc>
          <w:tcPr>
            <w:tcW w:w="8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br/>
              <w:t>Increase/</w:t>
              <w:br/>
              <w:t xml:space="preserve">(Decrease)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br/>
              <w:t>Increase/</w:t>
              <w:br/>
              <w:t>(Decrease)</w:t>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 millions, except for percentage changes and per share data)</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expenses (GAAP)</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16,429 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13,830 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46,617 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40,345 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15.5 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Special charges (credits)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Operating expenses, excluding special charges </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16,645 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13,903 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47,366 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40,079 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to exclude:</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Fuel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12,993 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Profit sharing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(35.6)</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Third-party business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(0.5)</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Adjusted operating expenses (Non-GAAP)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11,589 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10,619 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33,878 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30,947 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income (GAAP)</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Special charges (credits)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operating income (Non-GAAP)</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(22.4)</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Operating margin</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8.1 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9.2 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(1.1)</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7.1 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7.6 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(0.6)</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pts.</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 xml:space="preserve">Adjusted operating margin (Non-GAAP)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8.2 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pts.</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Pre-tax income (GAAP)</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to exclude:</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Special charges (credits)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Unrealized (gains) losses on investments, net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Debt extinguishment and modification fees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Adjusted pre-tax income (Non-GAAP)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1,109 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1,215 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2,451 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3,276 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(25.2)</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Pre-tax margin (GAAP)</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8.2 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(0.9)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(0.4)</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pts.</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Adjusted pre-tax margin (Non-GAAP)</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6.2 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pts.</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8"/>
              </w:rPr>
              <w:t>Net income (GAAP)</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to exclude:</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Special charges (credits)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Unrealized (gains) losses on investments,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Debt extinguishment and modification fees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expense (benefit) on adjustments,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Adjusted net income (Non-GAAP)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(24.5)</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8"/>
              </w:rPr>
              <w:t>Diluted earnings per share (GAAP)</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to exclude:</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Special charges (credits)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(0.66)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Unrealized (gains) losses on investments,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Debt extinguishment and modification fees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Income tax expense (benefit) on adjustments, net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NM</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Adjusted diluted earnings per share (Non-GAAP)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(24.0)</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Third-Quarter 2026 Results </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3350"/>
                <wp:effectExtent l="0" t="0" r="0" b="0"/>
                <wp:wrapNone/>
                <wp:docPr id="17" name="Frame1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13</w:t>
                      </w:r>
                    </w:p>
                  </w:txbxContent>
                </v:textbox>
                <w10:wrap type="none"/>
              </v:rect>
            </w:pict>
          </mc:Fallback>
        </mc:AlternateContent>
      </w:r>
    </w:p>
    <w:p>
      <w:pPr>
        <w:pStyle w:val="TextBody"/>
        <w:bidi w:val="0"/>
        <w:spacing w:lineRule="auto" w:line="288" w:before="120" w:after="283"/>
        <w:jc w:val="center"/>
        <w:rPr>
          <w:rFonts w:ascii="sans-serif" w:hAnsi="sans-serif"/>
          <w:b/>
          <w:color w:val="000000"/>
          <w:sz w:val="18"/>
        </w:rPr>
      </w:pPr>
      <w:r>
        <w:rPr>
          <w:rFonts w:ascii="sans-serif" w:hAnsi="sans-serif"/>
          <w:b/>
          <w:color w:val="000000"/>
          <w:sz w:val="18"/>
        </w:rPr>
        <w:t xml:space="preserve">UNITED AIRLINES HOLDINGS, INC. </w:t>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141"/>
        <w:gridCol w:w="1677"/>
        <w:gridCol w:w="1664"/>
        <w:gridCol w:w="501"/>
        <w:gridCol w:w="1835"/>
        <w:gridCol w:w="243"/>
        <w:gridCol w:w="109"/>
        <w:gridCol w:w="109"/>
        <w:gridCol w:w="109"/>
        <w:gridCol w:w="323"/>
        <w:gridCol w:w="1182"/>
        <w:gridCol w:w="155"/>
        <w:gridCol w:w="157"/>
      </w:tblGrid>
      <w:tr>
        <w:trPr/>
        <w:tc>
          <w:tcPr>
            <w:tcW w:w="2141"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8"/>
              </w:rPr>
              <w:t>(in millions)</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September 30,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December 31, 2025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ASSETS</w:t>
            </w:r>
          </w:p>
        </w:tc>
        <w:tc>
          <w:tcPr>
            <w:tcW w:w="2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6,648 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Short-term investments</w:t>
            </w:r>
          </w:p>
        </w:tc>
        <w:tc>
          <w:tcPr>
            <w:tcW w:w="2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8,005 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Receivables, net</w:t>
            </w:r>
          </w:p>
        </w:tc>
        <w:tc>
          <w:tcPr>
            <w:tcW w:w="2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2,636 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Aircraft fuel, spare parts and supplies, net</w:t>
            </w:r>
          </w:p>
        </w:tc>
        <w:tc>
          <w:tcPr>
            <w:tcW w:w="2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1,954 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Prepaid expenses and other</w:t>
            </w:r>
          </w:p>
        </w:tc>
        <w:tc>
          <w:tcPr>
            <w:tcW w:w="2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assets</w:t>
            </w:r>
          </w:p>
        </w:tc>
        <w:tc>
          <w:tcPr>
            <w:tcW w:w="2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19,988 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16,857 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property and equipment, net</w:t>
            </w:r>
          </w:p>
        </w:tc>
        <w:tc>
          <w:tcPr>
            <w:tcW w:w="2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49,368 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46,121 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right-of-use assets</w:t>
            </w:r>
          </w:p>
        </w:tc>
        <w:tc>
          <w:tcPr>
            <w:tcW w:w="2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6,992 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Goodwill</w:t>
            </w:r>
          </w:p>
        </w:tc>
        <w:tc>
          <w:tcPr>
            <w:tcW w:w="2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4,527 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Intangible assets, net</w:t>
            </w:r>
          </w:p>
        </w:tc>
        <w:tc>
          <w:tcPr>
            <w:tcW w:w="2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2,641 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Investments in affiliates and other, net</w:t>
            </w:r>
          </w:p>
        </w:tc>
        <w:tc>
          <w:tcPr>
            <w:tcW w:w="2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1,604 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noncurrent assets</w:t>
            </w:r>
          </w:p>
        </w:tc>
        <w:tc>
          <w:tcPr>
            <w:tcW w:w="2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65,132 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59,591 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assets</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85,120 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76,448 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LIABILITIES AND STOCKHOLDERS' EQUITY</w:t>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5,403 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salaries and benefits</w:t>
            </w:r>
          </w:p>
        </w:tc>
        <w:tc>
          <w:tcPr>
            <w:tcW w:w="2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3,007 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Advance ticket sales</w:t>
            </w:r>
          </w:p>
        </w:tc>
        <w:tc>
          <w:tcPr>
            <w:tcW w:w="2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10,672 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Frequent flyer deferred revenue</w:t>
            </w:r>
          </w:p>
        </w:tc>
        <w:tc>
          <w:tcPr>
            <w:tcW w:w="2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4,084 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maturities of long-term debt, finance leases, and other financial liabilities</w:t>
            </w:r>
          </w:p>
        </w:tc>
        <w:tc>
          <w:tcPr>
            <w:tcW w:w="2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1,848 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maturities of operating leases</w:t>
            </w:r>
          </w:p>
        </w:tc>
        <w:tc>
          <w:tcPr>
            <w:tcW w:w="2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2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liabilities</w:t>
            </w:r>
          </w:p>
        </w:tc>
        <w:tc>
          <w:tcPr>
            <w:tcW w:w="2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26,639 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26,133 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debt, finance leases, and other financial liabilities</w:t>
            </w:r>
          </w:p>
        </w:tc>
        <w:tc>
          <w:tcPr>
            <w:tcW w:w="2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24,550 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20,562 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obligations under operating leases</w:t>
            </w:r>
          </w:p>
        </w:tc>
        <w:tc>
          <w:tcPr>
            <w:tcW w:w="2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6,962 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Frequent flyer deferred revenue</w:t>
            </w:r>
          </w:p>
        </w:tc>
        <w:tc>
          <w:tcPr>
            <w:tcW w:w="2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3,881 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Pension and postretirement benefit liability</w:t>
            </w:r>
          </w:p>
        </w:tc>
        <w:tc>
          <w:tcPr>
            <w:tcW w:w="2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825 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income taxes</w:t>
            </w:r>
          </w:p>
        </w:tc>
        <w:tc>
          <w:tcPr>
            <w:tcW w:w="2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3,093 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2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1,415 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noncurrent liabilities</w:t>
            </w:r>
          </w:p>
        </w:tc>
        <w:tc>
          <w:tcPr>
            <w:tcW w:w="2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40,727 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35,033 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stockholders' equity</w:t>
            </w:r>
          </w:p>
        </w:tc>
        <w:tc>
          <w:tcPr>
            <w:tcW w:w="2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17,754 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15,282 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liabilities and stockholders' equity</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85,120 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76,448 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Third-Quarter 2026 Results </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3350"/>
                <wp:effectExtent l="0" t="0" r="0" b="0"/>
                <wp:wrapNone/>
                <wp:docPr id="18" name="Frame1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14</w:t>
                      </w:r>
                    </w:p>
                  </w:txbxContent>
                </v:textbox>
                <w10:wrap type="none"/>
              </v:rect>
            </w:pict>
          </mc:Fallback>
        </mc:AlternateConten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UNITED AIRLINES HOLDINGS, INC.</w:t>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CONDENSED STATEMENTS OF CONSOLIDATED CASH FLOWS (UNAUDITED)</w:t>
      </w:r>
    </w:p>
    <w:tbl>
      <w:tblPr>
        <w:tblW w:w="10205" w:type="dxa"/>
        <w:jc w:val="center"/>
        <w:tblInd w:w="0" w:type="dxa"/>
        <w:tblLayout w:type="fixed"/>
        <w:tblCellMar>
          <w:top w:w="28" w:type="dxa"/>
          <w:left w:w="28" w:type="dxa"/>
          <w:bottom w:w="28" w:type="dxa"/>
          <w:right w:w="28" w:type="dxa"/>
        </w:tblCellMar>
      </w:tblPr>
      <w:tblGrid>
        <w:gridCol w:w="2718"/>
        <w:gridCol w:w="2213"/>
        <w:gridCol w:w="2208"/>
        <w:gridCol w:w="282"/>
        <w:gridCol w:w="882"/>
        <w:gridCol w:w="135"/>
        <w:gridCol w:w="135"/>
        <w:gridCol w:w="135"/>
        <w:gridCol w:w="135"/>
        <w:gridCol w:w="282"/>
        <w:gridCol w:w="882"/>
        <w:gridCol w:w="198"/>
      </w:tblGrid>
      <w:tr>
        <w:trPr/>
        <w:tc>
          <w:tcPr>
            <w:tcW w:w="2718"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8"/>
              </w:rPr>
              <w:t xml:space="preserve">(in millions) </w:t>
            </w:r>
          </w:p>
        </w:tc>
        <w:tc>
          <w:tcPr>
            <w:tcW w:w="3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Nine Months Ended September 30,</w:t>
            </w:r>
          </w:p>
        </w:tc>
      </w:tr>
      <w:tr>
        <w:trPr/>
        <w:tc>
          <w:tcPr>
            <w:tcW w:w="7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Activities:</w:t>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operating activities</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6,874 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7,145 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Investing Activities:</w:t>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Capital expenditures, net of flight equipment purchase deposit returns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(5,154)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(3,984)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Purchases of short-term and other investments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(7,583)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(6,454)</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sale of short-term and other investments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5,779 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5,654 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sale of property and equipment</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net</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used in investing activities</w:t>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(7,192)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(4,785)</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Financing Activities:</w:t>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issuance of debt and other financial liabilities, net of discounts and fees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6,698 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of long-term debt, finance leases and other financial liabilities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(5,541)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(4,196)</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Repurchases of common stock</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net</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(used in) financing activities</w:t>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1,031 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(4,436)</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increase (decrease) in cash, cash equivalents and restricted cash</w:t>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(2,075)</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cash equivalents and restricted cash at beginning of the period</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6,081 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8,946 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cash equivalents and restricted cash at end of the period (a)</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6,794 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6,871 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Investing and Financing Activities Not Affecting Cash:</w:t>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Right-of-use assets acquired or modified through operating leases</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2,488 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1,382 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Property and equipment acquired through the issuance or modification of debt, finance leases and other financial liabilities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leases converted to finance leases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Investment interests received in exchange for loans, goods and services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left"/>
        <w:rPr>
          <w:rFonts w:ascii="sans-serif" w:hAnsi="sans-serif"/>
          <w:b w:val="false"/>
          <w:color w:val="000000"/>
          <w:sz w:val="16"/>
        </w:rPr>
      </w:pPr>
      <w:r>
        <w:rPr>
          <w:rFonts w:ascii="sans-serif" w:hAnsi="sans-serif"/>
          <w:b w:val="false"/>
          <w:color w:val="000000"/>
          <w:sz w:val="16"/>
        </w:rPr>
        <w:t>(a) The following table provides a reconciliation of cash, cash equivalents and restricted cash to amounts reported within the condensed consolidated balance sheets:</w:t>
      </w:r>
    </w:p>
    <w:tbl>
      <w:tblPr>
        <w:tblW w:w="7778" w:type="dxa"/>
        <w:jc w:val="center"/>
        <w:tblInd w:w="0" w:type="dxa"/>
        <w:tblLayout w:type="fixed"/>
        <w:tblCellMar>
          <w:top w:w="28" w:type="dxa"/>
          <w:left w:w="28" w:type="dxa"/>
          <w:bottom w:w="28" w:type="dxa"/>
          <w:right w:w="28" w:type="dxa"/>
        </w:tblCellMar>
      </w:tblPr>
      <w:tblGrid>
        <w:gridCol w:w="1930"/>
        <w:gridCol w:w="1695"/>
        <w:gridCol w:w="1699"/>
        <w:gridCol w:w="226"/>
        <w:gridCol w:w="706"/>
        <w:gridCol w:w="109"/>
        <w:gridCol w:w="109"/>
        <w:gridCol w:w="109"/>
        <w:gridCol w:w="109"/>
        <w:gridCol w:w="226"/>
        <w:gridCol w:w="706"/>
        <w:gridCol w:w="154"/>
      </w:tblGrid>
      <w:tr>
        <w:trPr/>
        <w:tc>
          <w:tcPr>
            <w:tcW w:w="1930"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Restricted cash in Investments in affiliates and 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Total cash, cash equivalents and restricted cash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360"/>
        <w:jc w:val="left"/>
        <w:rPr>
          <w:rFonts w:ascii="sans-serif" w:hAnsi="sans-serif"/>
          <w:b w:val="false"/>
          <w:color w:val="000000"/>
          <w:sz w:val="20"/>
        </w:rPr>
      </w:pPr>
      <w:r>
        <w:rPr>
          <w:rFonts w:ascii="sans-serif" w:hAnsi="sans-serif"/>
          <w:b w:val="false"/>
          <w:color w:val="000000"/>
          <w:sz w:val="20"/>
        </w:rPr>
        <w:t xml:space="preserve">United Airlines Reports Third-Quarter 2026 Results </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3350"/>
                <wp:effectExtent l="0" t="0" r="0" b="0"/>
                <wp:wrapNone/>
                <wp:docPr id="19" name="Frame1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15</w:t>
                      </w:r>
                    </w:p>
                  </w:txbxContent>
                </v:textbox>
                <w10:wrap type="none"/>
              </v:rect>
            </w:pict>
          </mc:Fallback>
        </mc:AlternateContent>
      </w:r>
    </w:p>
    <w:p>
      <w:pPr>
        <w:pStyle w:val="TextBody"/>
        <w:bidi w:val="0"/>
        <w:spacing w:lineRule="auto" w:line="288" w:before="240" w:after="283"/>
        <w:jc w:val="center"/>
        <w:rPr>
          <w:rFonts w:ascii="sans-serif" w:hAnsi="sans-serif"/>
          <w:b/>
          <w:color w:val="000000"/>
          <w:sz w:val="18"/>
        </w:rPr>
      </w:pPr>
      <w:r>
        <w:rPr>
          <w:rFonts w:ascii="sans-serif" w:hAnsi="sans-serif"/>
          <w:b/>
          <w:color w:val="000000"/>
          <w:sz w:val="18"/>
        </w:rPr>
        <w:t>UNITED AIRLINES HOLDINGS, INC.</w:t>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NOTES (UNAUDITED)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sans-serif" w:hAnsi="sans-serif"/>
          <w:b/>
          <w:color w:val="000000"/>
          <w:sz w:val="18"/>
        </w:rPr>
      </w:pPr>
      <w:r>
        <w:rPr>
          <w:rFonts w:ascii="sans-serif" w:hAnsi="sans-serif"/>
          <w:b/>
          <w:color w:val="000000"/>
          <w:sz w:val="18"/>
        </w:rPr>
        <w:t>Special charges (credits) and unrealized (gains) losses on investments, net include the following:</w:t>
      </w:r>
    </w:p>
    <w:tbl>
      <w:tblPr>
        <w:tblW w:w="10205" w:type="dxa"/>
        <w:jc w:val="left"/>
        <w:tblInd w:w="0" w:type="dxa"/>
        <w:tblLayout w:type="fixed"/>
        <w:tblCellMar>
          <w:top w:w="28" w:type="dxa"/>
          <w:left w:w="28" w:type="dxa"/>
          <w:bottom w:w="28" w:type="dxa"/>
          <w:right w:w="28" w:type="dxa"/>
        </w:tblCellMar>
      </w:tblPr>
      <w:tblGrid>
        <w:gridCol w:w="1904"/>
        <w:gridCol w:w="1399"/>
        <w:gridCol w:w="1359"/>
        <w:gridCol w:w="109"/>
        <w:gridCol w:w="109"/>
        <w:gridCol w:w="109"/>
        <w:gridCol w:w="268"/>
        <w:gridCol w:w="679"/>
        <w:gridCol w:w="129"/>
        <w:gridCol w:w="129"/>
        <w:gridCol w:w="129"/>
        <w:gridCol w:w="129"/>
        <w:gridCol w:w="268"/>
        <w:gridCol w:w="537"/>
        <w:gridCol w:w="129"/>
        <w:gridCol w:w="109"/>
        <w:gridCol w:w="109"/>
        <w:gridCol w:w="109"/>
        <w:gridCol w:w="262"/>
        <w:gridCol w:w="664"/>
        <w:gridCol w:w="126"/>
        <w:gridCol w:w="126"/>
        <w:gridCol w:w="126"/>
        <w:gridCol w:w="126"/>
        <w:gridCol w:w="262"/>
        <w:gridCol w:w="611"/>
        <w:gridCol w:w="189"/>
      </w:tblGrid>
      <w:tr>
        <w:trPr/>
        <w:tc>
          <w:tcPr>
            <w:tcW w:w="1904"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4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Nine Months Ended September 30,</w:t>
            </w:r>
          </w:p>
        </w:tc>
      </w:tr>
      <w:tr>
        <w:trPr/>
        <w:tc>
          <w:tcPr>
            <w:tcW w:w="4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r>
      <w:tr>
        <w:trPr/>
        <w:tc>
          <w:tcPr>
            <w:tcW w:w="4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Labor contract ratification bonuses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(Gains) losses on sale of assets and other special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operating special charges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(215)</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(749)</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266 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Nonoperating unrealized (gains) losses on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Nonoperating debt extinguishment and modification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20 </w:t>
            </w:r>
          </w:p>
        </w:tc>
        <w:tc>
          <w:tcPr>
            <w:tcW w:w="18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8"/>
              </w:rPr>
              <w:t>Total nonoperating special charges and unrealized (gains) losses on investments,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operating and nonoperating special charges (credits) and unrealized (gains) losses on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(202)</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(757)</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295 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Income tax expense (benefit), net of valuation allowance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(127)</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8"/>
              </w:rPr>
              <w:t>Total operating and nonoperating special charges (credits) and unrealized (gains) losses on investments, net of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(197)</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(662)</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6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168 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100"/>
        <w:jc w:val="left"/>
        <w:rPr>
          <w:rFonts w:ascii="sans-serif" w:hAnsi="sans-serif"/>
          <w:b w:val="false"/>
          <w:color w:val="000000"/>
          <w:sz w:val="18"/>
        </w:rPr>
      </w:pPr>
      <w:r>
        <w:rPr>
          <w:rFonts w:ascii="sans-serif" w:hAnsi="sans-serif"/>
          <w:b w:val="false"/>
          <w:color w:val="000000"/>
          <w:sz w:val="18"/>
        </w:rPr>
        <w:t>During the nine months ended September 30, 2026, the company recorded $182 million of expense associated with the recently ratified agreements with the company's flight attendants represented by the Association of Flight Attendants ("AFA") and the company's fleet technical instructors, storekeepers, maintenance instructors and security officers represented by the International Association of Machinists and Aerospace Workers. During the nine months ended September 30, 2025, the company recorded a $561 million special charge in connection with the then-existing tentative agreement with its flight attendants represented by the AFA.</w:t>
      </w:r>
    </w:p>
    <w:p>
      <w:pPr>
        <w:pStyle w:val="TextBody"/>
        <w:bidi w:val="0"/>
        <w:spacing w:lineRule="auto" w:line="288" w:before="180" w:after="100"/>
        <w:jc w:val="left"/>
        <w:rPr>
          <w:rFonts w:ascii="sans-serif" w:hAnsi="sans-serif"/>
          <w:b w:val="false"/>
          <w:color w:val="000000"/>
          <w:sz w:val="18"/>
        </w:rPr>
      </w:pPr>
      <w:r>
        <w:rPr>
          <w:rFonts w:ascii="sans-serif" w:hAnsi="sans-serif"/>
          <w:b w:val="false"/>
          <w:color w:val="000000"/>
          <w:sz w:val="18"/>
        </w:rPr>
        <w:t xml:space="preserve">During the three and nine months ended September 30, 2026, the company recorded $213 million and $931 million, respectively, of net gains on sale of assets and other special charges, which were primarily comprised of $294 million and $1.1 billion, respectively, of gains on various aircraft sale-leaseback transactions. During the three and nine months ended September 30, 2025, the company recorded $73 million and $295 million, respectively, of net gains on sale of assets and other special charges, which were primarily comprised of $75 million and $336 million, respectively, of gains on various aircraft sale-leaseback transactions. </w:t>
      </w:r>
    </w:p>
    <w:p>
      <w:pPr>
        <w:pStyle w:val="TextBody"/>
        <w:bidi w:val="0"/>
        <w:spacing w:lineRule="auto" w:line="288" w:before="100" w:after="283"/>
        <w:jc w:val="left"/>
        <w:rPr>
          <w:rFonts w:ascii="sans-serif" w:hAnsi="sans-serif"/>
          <w:b w:val="false"/>
          <w:color w:val="000000"/>
          <w:sz w:val="18"/>
        </w:rPr>
      </w:pPr>
      <w:r>
        <w:rPr>
          <w:rFonts w:ascii="sans-serif" w:hAnsi="sans-serif"/>
          <w:b w:val="false"/>
          <w:color w:val="000000"/>
          <w:sz w:val="18"/>
        </w:rPr>
        <w:t>The company's effective tax rates were as follows:</w:t>
      </w:r>
    </w:p>
    <w:tbl>
      <w:tblPr>
        <w:tblW w:w="9161" w:type="dxa"/>
        <w:jc w:val="left"/>
        <w:tblInd w:w="0" w:type="dxa"/>
        <w:tblLayout w:type="fixed"/>
        <w:tblCellMar>
          <w:top w:w="28" w:type="dxa"/>
          <w:left w:w="28" w:type="dxa"/>
          <w:bottom w:w="28" w:type="dxa"/>
          <w:right w:w="28" w:type="dxa"/>
        </w:tblCellMar>
      </w:tblPr>
      <w:tblGrid>
        <w:gridCol w:w="602"/>
        <w:gridCol w:w="530"/>
        <w:gridCol w:w="532"/>
        <w:gridCol w:w="383"/>
        <w:gridCol w:w="284"/>
        <w:gridCol w:w="707"/>
        <w:gridCol w:w="284"/>
        <w:gridCol w:w="284"/>
        <w:gridCol w:w="284"/>
        <w:gridCol w:w="383"/>
        <w:gridCol w:w="284"/>
        <w:gridCol w:w="707"/>
        <w:gridCol w:w="109"/>
        <w:gridCol w:w="109"/>
        <w:gridCol w:w="109"/>
        <w:gridCol w:w="383"/>
        <w:gridCol w:w="270"/>
        <w:gridCol w:w="671"/>
        <w:gridCol w:w="270"/>
        <w:gridCol w:w="270"/>
        <w:gridCol w:w="270"/>
        <w:gridCol w:w="383"/>
        <w:gridCol w:w="270"/>
        <w:gridCol w:w="783"/>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Nine Months Ended September 30,</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2026</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2025</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Effective tax rate</w:t>
            </w:r>
          </w:p>
        </w:tc>
        <w:tc>
          <w:tcPr>
            <w:tcW w:w="6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21.5 </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24.4 </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21.0 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22.5 </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bl>
    <w:p>
      <w:pPr>
        <w:pStyle w:val="TextBody"/>
        <w:bidi w:val="0"/>
        <w:spacing w:lineRule="auto" w:line="288" w:before="180" w:after="100"/>
        <w:jc w:val="left"/>
        <w:rPr>
          <w:rFonts w:ascii="sans-serif" w:hAnsi="sans-serif"/>
          <w:b w:val="false"/>
          <w:color w:val="000000"/>
          <w:sz w:val="18"/>
        </w:rPr>
      </w:pPr>
      <w:r>
        <w:rPr>
          <w:rFonts w:ascii="sans-serif" w:hAnsi="sans-serif"/>
          <w:b w:val="false"/>
          <w:color w:val="000000"/>
          <w:sz w:val="18"/>
        </w:rPr>
        <w:t>The provision for income taxes is based on the estimated annual effective tax rate, which represents a blend of federal, state and foreign taxes and includes the impact of certain nondeductible items. The decrease in the effective tax rates in the three and nine months ended September 30, 2026, as compared to the same period in 2025, was primarily due to a release of valuation allowance related to realized capital gains.</w:t>
      </w:r>
    </w:p>
    <w:p>
      <w:pPr>
        <w:pStyle w:val="TextBody"/>
        <w:bidi w:val="0"/>
        <w:spacing w:lineRule="auto" w:line="288" w:before="180" w:after="100"/>
        <w:jc w:val="center"/>
        <w:rPr>
          <w:rFonts w:ascii="sans-serif" w:hAnsi="sans-serif"/>
          <w:b w:val="false"/>
          <w:color w:val="000000"/>
          <w:sz w:val="18"/>
        </w:rPr>
      </w:pPr>
      <w:r>
        <w:rPr>
          <w:rFonts w:ascii="sans-serif" w:hAnsi="sans-serif"/>
          <w:b w:val="false"/>
          <w:color w:val="000000"/>
          <w:sz w:val="18"/>
        </w:rPr>
        <w:t># #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99.2</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3350"/>
                <wp:effectExtent l="0" t="0" r="0" b="0"/>
                <wp:wrapNone/>
                <wp:docPr id="20" name="Frame1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16</w:t>
                      </w:r>
                    </w:p>
                  </w:txbxContent>
                </v:textbox>
                <w10:wrap type="none"/>
              </v:rect>
            </w:pict>
          </mc:Fallback>
        </mc:AlternateContent>
      </w:r>
    </w:p>
    <w:tbl>
      <w:tblPr>
        <w:tblW w:w="3206" w:type="dxa"/>
        <w:jc w:val="left"/>
        <w:tblInd w:w="0" w:type="dxa"/>
        <w:tblLayout w:type="fixed"/>
        <w:tblCellMar>
          <w:top w:w="28" w:type="dxa"/>
          <w:left w:w="28" w:type="dxa"/>
          <w:bottom w:w="28" w:type="dxa"/>
          <w:right w:w="28" w:type="dxa"/>
        </w:tblCellMar>
      </w:tblPr>
      <w:tblGrid>
        <w:gridCol w:w="1027"/>
        <w:gridCol w:w="902"/>
        <w:gridCol w:w="1277"/>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r>
      <w:tr>
        <w:trPr/>
        <w:tc>
          <w:tcPr>
            <w:tcW w:w="32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943100" cy="800100"/>
                  <wp:effectExtent l="0" t="0" r="0" b="0"/>
                  <wp:docPr id="2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 descr=""/>
                          <pic:cNvPicPr>
                            <a:picLocks noChangeAspect="1" noChangeArrowheads="1"/>
                          </pic:cNvPicPr>
                        </pic:nvPicPr>
                        <pic:blipFill>
                          <a:blip r:embed="rId3"/>
                          <a:stretch>
                            <a:fillRect/>
                          </a:stretch>
                        </pic:blipFill>
                        <pic:spPr bwMode="auto">
                          <a:xfrm>
                            <a:off x="0" y="0"/>
                            <a:ext cx="1943100" cy="800100"/>
                          </a:xfrm>
                          <a:prstGeom prst="rect">
                            <a:avLst/>
                          </a:prstGeom>
                        </pic:spPr>
                      </pic:pic>
                    </a:graphicData>
                  </a:graphic>
                </wp:inline>
              </w:drawing>
            </w:r>
          </w:p>
        </w:tc>
      </w:tr>
    </w:tbl>
    <w:tbl>
      <w:tblPr>
        <w:tblW w:w="5260" w:type="dxa"/>
        <w:jc w:val="right"/>
        <w:tblInd w:w="0" w:type="dxa"/>
        <w:tblLayout w:type="fixed"/>
        <w:tblCellMar>
          <w:top w:w="28" w:type="dxa"/>
          <w:left w:w="28" w:type="dxa"/>
          <w:bottom w:w="28" w:type="dxa"/>
          <w:right w:w="28" w:type="dxa"/>
        </w:tblCellMar>
      </w:tblPr>
      <w:tblGrid>
        <w:gridCol w:w="673"/>
        <w:gridCol w:w="592"/>
        <w:gridCol w:w="594"/>
        <w:gridCol w:w="109"/>
        <w:gridCol w:w="109"/>
        <w:gridCol w:w="109"/>
        <w:gridCol w:w="897"/>
        <w:gridCol w:w="897"/>
        <w:gridCol w:w="1280"/>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Investor Update</w:t>
            </w:r>
            <w:r>
              <w:rPr>
                <w:rFonts w:ascii="sans-serif" w:hAnsi="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Issue Date: October 20, 2026</w:t>
            </w:r>
          </w:p>
        </w:tc>
      </w:tr>
    </w:tbl>
    <w:p>
      <w:pPr>
        <w:pStyle w:val="TextBody"/>
        <w:bidi w:val="0"/>
        <w:spacing w:lineRule="auto" w:line="288" w:before="180" w:after="100"/>
        <w:jc w:val="left"/>
        <w:rPr>
          <w:rFonts w:ascii="sans-serif" w:hAnsi="sans-serif"/>
          <w:b w:val="false"/>
          <w:color w:val="000000"/>
          <w:sz w:val="18"/>
        </w:rPr>
      </w:pPr>
      <w:r>
        <w:rPr>
          <w:rFonts w:ascii="sans-serif" w:hAnsi="sans-serif"/>
          <w:b w:val="false"/>
          <w:color w:val="000000"/>
          <w:sz w:val="18"/>
        </w:rPr>
        <w:t>This Investor Update provides guidance and certain other forward-looking statements about United Airlines Holdings, Inc. (the "Company"). The information in this Investor Update contains the preliminary financial and operational outlook for the fourth-quarter 2026 and full-year 2026, among other items.</w:t>
      </w:r>
    </w:p>
    <w:p>
      <w:pPr>
        <w:pStyle w:val="TextBody"/>
        <w:bidi w:val="0"/>
        <w:spacing w:before="0" w:after="0"/>
        <w:jc w:val="left"/>
        <w:rPr/>
      </w:pPr>
      <w:r>
        <w:rPr/>
      </w:r>
    </w:p>
    <w:tbl>
      <w:tblPr>
        <w:tblW w:w="7344" w:type="dxa"/>
        <w:jc w:val="left"/>
        <w:tblInd w:w="0" w:type="dxa"/>
        <w:tblLayout w:type="fixed"/>
        <w:tblCellMar>
          <w:top w:w="28" w:type="dxa"/>
          <w:left w:w="28" w:type="dxa"/>
          <w:bottom w:w="28" w:type="dxa"/>
          <w:right w:w="28" w:type="dxa"/>
        </w:tblCellMar>
      </w:tblPr>
      <w:tblGrid>
        <w:gridCol w:w="1598"/>
        <w:gridCol w:w="1400"/>
        <w:gridCol w:w="1411"/>
        <w:gridCol w:w="109"/>
        <w:gridCol w:w="109"/>
        <w:gridCol w:w="109"/>
        <w:gridCol w:w="454"/>
        <w:gridCol w:w="454"/>
        <w:gridCol w:w="456"/>
        <w:gridCol w:w="364"/>
        <w:gridCol w:w="364"/>
        <w:gridCol w:w="516"/>
      </w:tblGrid>
      <w:tr>
        <w:trPr/>
        <w:tc>
          <w:tcPr>
            <w:tcW w:w="1598"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 xml:space="preserve">Estimated </w:t>
              <w:br/>
              <w:t>4Q 2026</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 xml:space="preserve">Estimated </w:t>
              <w:br/>
              <w:t>FY 2026</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diluted earnings per share</w:t>
            </w:r>
            <w:r>
              <w:rPr>
                <w:rFonts w:ascii="sans-serif" w:hAnsi="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$0.50 - $1.50</w:t>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Average aircraft fuel price per gallon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~$4.80</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total capital expenditures (in billions)</w:t>
            </w:r>
            <w:r>
              <w:rPr>
                <w:rFonts w:ascii="sans-serif" w:hAnsi="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~$7.5</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sans-serif" w:hAnsi="sans-serif"/>
          <w:b/>
          <w:color w:val="000000"/>
          <w:sz w:val="18"/>
          <w:u w:val="single"/>
        </w:rPr>
      </w:pPr>
      <w:r>
        <w:rPr>
          <w:rFonts w:ascii="sans-serif" w:hAnsi="sans-serif"/>
          <w:b/>
          <w:color w:val="000000"/>
          <w:sz w:val="18"/>
          <w:u w:val="single"/>
        </w:rPr>
        <w:t>Supplemental information</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The Company expects fourth quarter 2026 unit revenue growth to accelerate versus the third quarter 2026. Additionally, unit cost excluding fuel growth is expected to step down for the fourth quarter 2026 versus the third quarter 2026.</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 xml:space="preserve">For the fourth quarter, the Company assumes an all-in average fuel price per gallon of approximately $4.80 based on the Gulf Coast jet forward curve as of October 16, 2026. Fuel prices have remained volatile, and in the short term every $0.01 change in fuel price equates to approximately 2.5 cents of earnings per share impact for the quarter. Currently, consensus expectations assume an all-in average fuel price of approximately $4.35 for the fourth quarter 2026, approximately $0.45 lower than the Company’s current assumption and represents approximately $1.00 in earnings per share for the quarter.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sans-serif" w:hAnsi="sans-serif"/>
          <w:b w:val="false"/>
          <w:color w:val="000000"/>
          <w:sz w:val="10"/>
        </w:rPr>
        <w:t>1</w:t>
      </w:r>
      <w:r>
        <w:rPr>
          <w:color w:val="000000"/>
        </w:rPr>
        <w:t xml:space="preserve"> </w:t>
      </w:r>
      <w:r>
        <w:rPr>
          <w:rFonts w:ascii="sans-serif" w:hAnsi="sans-serif"/>
          <w:b w:val="false"/>
          <w:color w:val="000000"/>
          <w:sz w:val="16"/>
        </w:rPr>
        <w:t xml:space="preserve">The guidance provided in this Investor Update reflects our current expectations and assumptions and our actual results and timing may vary materially based on various factors that include, but are not limited to, those discussed below under "Cautionary Statement Regarding Forward-Looking Statements" in Part I, Item 1A. Risk Factors of the Company’s Annual Report on Form 10-K for the fiscal year ended December 31, 2025 and in Part I, Item 2. Management’s Discussion and Analysis of Financial Condition and Results of Operations of the Company’s Quarterly Report on Form 10-Q for the fiscal period ended June 30, 2026 as well as other risks and uncertainties set forth from time to time in the reports we file with the U.S. Securities and Exchange Commission (the </w:t>
      </w:r>
      <w:r>
        <w:rPr>
          <w:rFonts w:ascii="sans-serif" w:hAnsi="sans-serif"/>
          <w:b w:val="false"/>
          <w:color w:val="000000"/>
          <w:sz w:val="18"/>
        </w:rPr>
        <w:t>"</w:t>
      </w:r>
      <w:r>
        <w:rPr>
          <w:rFonts w:ascii="sans-serif" w:hAnsi="sans-serif"/>
          <w:b w:val="false"/>
          <w:color w:val="000000"/>
          <w:sz w:val="16"/>
        </w:rPr>
        <w:t>SEC</w:t>
      </w:r>
      <w:r>
        <w:rPr>
          <w:rFonts w:ascii="sans-serif" w:hAnsi="sans-serif"/>
          <w:b w:val="false"/>
          <w:color w:val="000000"/>
          <w:sz w:val="18"/>
        </w:rPr>
        <w:t>"</w:t>
      </w:r>
      <w:r>
        <w:rPr>
          <w:rFonts w:ascii="sans-serif" w:hAnsi="sans-serif"/>
          <w:b w:val="false"/>
          <w:color w:val="000000"/>
          <w:sz w:val="16"/>
        </w:rPr>
        <w:t>). The guidance is only effective as of the date given and should not be considered updated or affirmed unless and until we publicly announce updated or affirmed guidance. We undertake no obligation to update our guidance. Management will also discuss certain business outlook items during its regularly scheduled quarterly earnings conference call on October 21, 2026. This Investor Update should be read in conjunction with the Company's earnings release issued in connection with this Investor Update and its filings with the SEC.</w:t>
      </w:r>
    </w:p>
    <w:p>
      <w:pPr>
        <w:pStyle w:val="TextBody"/>
        <w:bidi w:val="0"/>
        <w:spacing w:lineRule="auto" w:line="268" w:before="0" w:after="0"/>
        <w:jc w:val="left"/>
        <w:rPr/>
      </w:pPr>
      <w:r>
        <w:rPr>
          <w:rFonts w:ascii="sans-serif" w:hAnsi="sans-serif"/>
          <w:b w:val="false"/>
          <w:color w:val="000000"/>
          <w:sz w:val="10"/>
        </w:rPr>
        <w:t>2</w:t>
      </w:r>
      <w:r>
        <w:rPr>
          <w:color w:val="000000"/>
        </w:rPr>
        <w:t xml:space="preserve"> </w:t>
      </w:r>
      <w:r>
        <w:rPr>
          <w:rFonts w:ascii="sans-serif" w:hAnsi="sans-serif"/>
          <w:b w:val="false"/>
          <w:color w:val="000000"/>
          <w:sz w:val="16"/>
        </w:rPr>
        <w:t>Adjusted diluted earnings per share is a non-GAAP financial measure that excludes operating and non-operating special charges (credits), unrealized (gains) losses on investments, net, and income tax expense (benefit) on adjustments, net. We are not providing a target for or a reconciliation to diluted earnings per share, the most directly comparable GAAP measure, because we are unable to predict the excluded items noted above contained in the GAAP measure without unreasonable efforts, and therefore we also are not able to determine the probable significance of such items.</w:t>
      </w:r>
    </w:p>
    <w:p>
      <w:pPr>
        <w:pStyle w:val="TextBody"/>
        <w:bidi w:val="0"/>
        <w:spacing w:lineRule="auto" w:line="288"/>
        <w:jc w:val="left"/>
        <w:rPr/>
      </w:pPr>
      <w:r>
        <w:rPr>
          <w:rFonts w:ascii="sans-serif" w:hAnsi="sans-serif"/>
          <w:b w:val="false"/>
          <w:color w:val="000000"/>
          <w:sz w:val="10"/>
        </w:rPr>
        <w:t>3</w:t>
      </w:r>
      <w:r>
        <w:rPr>
          <w:color w:val="000000"/>
        </w:rPr>
        <w:t xml:space="preserve"> </w:t>
      </w:r>
      <w:r>
        <w:rPr>
          <w:rFonts w:ascii="sans-serif" w:hAnsi="sans-serif"/>
          <w:b w:val="false"/>
          <w:color w:val="000000"/>
          <w:sz w:val="16"/>
        </w:rPr>
        <w:t>Adjusted total capital expenditures is a non-GAAP financial measure calculated as capital expenditures, net of flight equipment purchase deposit returns, plus property and equipment acquired through the issuance or modification of debt, finance leases, and other financial liabilities and operating leases converted to finance leases. We are not providing a target for or a reconciliation to capital expenditures, net of flight equipment purchase deposit returns, the most directly comparable GAAP measure, because we are not able to predict non-cash capital expenditures without unreasonable efforts, and therefore we also are not able to determine the probable significance of such items.</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3350"/>
                <wp:effectExtent l="0" t="0" r="0" b="0"/>
                <wp:wrapNone/>
                <wp:docPr id="22" name="Frame2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18"/>
                              </w:rPr>
                            </w:pPr>
                            <w:r>
                              <w:rPr>
                                <w:rFonts w:ascii="sans-serif" w:hAnsi="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sans-serif" w:hAnsi="sans-serif"/>
                          <w:b w:val="false"/>
                          <w:color w:val="000000"/>
                          <w:sz w:val="18"/>
                        </w:rPr>
                      </w:pPr>
                      <w:r>
                        <w:rPr>
                          <w:rFonts w:ascii="sans-serif" w:hAnsi="sans-serif"/>
                          <w:b w:val="false"/>
                          <w:color w:val="000000"/>
                          <w:sz w:val="18"/>
                        </w:rPr>
                        <w:t>1</w:t>
                      </w:r>
                    </w:p>
                  </w:txbxContent>
                </v:textbox>
                <w10:wrap type="none"/>
              </v:rect>
            </w:pict>
          </mc:Fallback>
        </mc:AlternateContent>
      </w:r>
    </w:p>
    <w:p>
      <w:pPr>
        <w:pStyle w:val="TextBody"/>
        <w:bidi w:val="0"/>
        <w:spacing w:lineRule="auto" w:line="288" w:before="0" w:after="0"/>
        <w:jc w:val="left"/>
        <w:rPr/>
      </w:pPr>
      <w:r>
        <w:rPr>
          <w:rFonts w:ascii="sans-serif" w:hAnsi="sans-serif"/>
          <w:b/>
          <w:color w:val="000000"/>
          <w:sz w:val="18"/>
          <w:u w:val="single"/>
        </w:rPr>
        <w:t>Profit Sharing:</w:t>
      </w:r>
      <w:r>
        <w:rPr>
          <w:color w:val="000000"/>
        </w:rPr>
        <w:t xml:space="preserve"> </w:t>
      </w:r>
      <w:r>
        <w:rPr>
          <w:rFonts w:ascii="sans-serif" w:hAnsi="sans-serif"/>
          <w:b w:val="false"/>
          <w:color w:val="000000"/>
          <w:sz w:val="18"/>
        </w:rPr>
        <w:t xml:space="preserve">Based on profit sharing plans in current labor agreements, the Company expects to accrue between $50 million and $140 million in the fourth quarter of 2026. The accrual is based on the sum of the methodology below.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val="false"/>
          <w:color w:val="000000"/>
          <w:sz w:val="18"/>
        </w:rPr>
        <w:t>Approximately 3.6% of total adjusted pre-tax earnings up to a 6.9% adjusted pre-tax margin, plus approximately 3.6% of total adjusted pre-tax earnings above a 6.9% adjusted pre-tax margin.</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18"/>
        </w:rPr>
        <w:t>Approximately 6.1% of total adjusted pre-tax earnings up to $2.5 billion adjusted pre-tax earnings, plus approximately 12.4% of total adjusted pre-tax earnings above $2.5 billion adjusted pre-tax earnings.</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18"/>
        </w:rPr>
        <w:t>Approximately 3.3% for all adjusted pre-tax earnings above the prior year’s adjusted pre-tax earnings.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18"/>
        </w:rPr>
      </w:pPr>
      <w:r>
        <w:rPr>
          <w:rFonts w:ascii="sans-serif" w:hAnsi="sans-serif"/>
          <w:b w:val="false"/>
          <w:color w:val="000000"/>
          <w:sz w:val="18"/>
        </w:rPr>
        <w:t>In reference to the above calculation, profit sharing adjusted pre-tax earnings and adjusted pre-tax margin are non-GAAP financial measures that are defined in the Company’s profit sharing plan document and calculated as GAAP pre-tax income (loss) and pre-tax margin, excluding operating and non-operating special charges (credits) and unrealized (gains) losses on investments, net, profit sharing expense and share-based compensation program expense. The Company estimates that share-based compensation expense for the purposes of the profit sharing adjusted pre-tax earnings calculation will be approximately $36 million for the fourth quarter of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18"/>
          <w:u w:val="single"/>
        </w:rPr>
        <w:t>Fleet Plan:</w:t>
      </w:r>
      <w:r>
        <w:rPr>
          <w:color w:val="000000"/>
        </w:rPr>
        <w:t xml:space="preserve"> </w:t>
      </w:r>
      <w:r>
        <w:rPr>
          <w:rFonts w:ascii="sans-serif" w:hAnsi="sans-serif"/>
          <w:b w:val="false"/>
          <w:color w:val="000000"/>
          <w:sz w:val="18"/>
        </w:rPr>
        <w:t>As of October 20, 2026, the Company's fleet plan was as follows:</w:t>
      </w:r>
    </w:p>
    <w:p>
      <w:pPr>
        <w:pStyle w:val="TextBody"/>
        <w:bidi w:val="0"/>
        <w:spacing w:before="0" w:after="0"/>
        <w:jc w:val="left"/>
        <w:rPr/>
      </w:pPr>
      <w:r>
        <w:rPr/>
      </w:r>
    </w:p>
    <w:tbl>
      <w:tblPr>
        <w:tblW w:w="9034" w:type="dxa"/>
        <w:jc w:val="left"/>
        <w:tblInd w:w="0" w:type="dxa"/>
        <w:tblLayout w:type="fixed"/>
        <w:tblCellMar>
          <w:top w:w="28" w:type="dxa"/>
          <w:left w:w="28" w:type="dxa"/>
          <w:bottom w:w="28" w:type="dxa"/>
          <w:right w:w="28" w:type="dxa"/>
        </w:tblCellMar>
      </w:tblPr>
      <w:tblGrid>
        <w:gridCol w:w="1537"/>
        <w:gridCol w:w="1346"/>
        <w:gridCol w:w="1362"/>
        <w:gridCol w:w="304"/>
        <w:gridCol w:w="304"/>
        <w:gridCol w:w="306"/>
        <w:gridCol w:w="109"/>
        <w:gridCol w:w="109"/>
        <w:gridCol w:w="109"/>
        <w:gridCol w:w="304"/>
        <w:gridCol w:w="304"/>
        <w:gridCol w:w="306"/>
        <w:gridCol w:w="109"/>
        <w:gridCol w:w="109"/>
        <w:gridCol w:w="109"/>
        <w:gridCol w:w="304"/>
        <w:gridCol w:w="304"/>
        <w:gridCol w:w="306"/>
        <w:gridCol w:w="109"/>
        <w:gridCol w:w="109"/>
        <w:gridCol w:w="109"/>
        <w:gridCol w:w="312"/>
        <w:gridCol w:w="312"/>
        <w:gridCol w:w="442"/>
      </w:tblGrid>
      <w:tr>
        <w:trPr/>
        <w:tc>
          <w:tcPr>
            <w:tcW w:w="1537"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1Q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3Q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YE 2026E</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B777-200/300</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96</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B787-8/9/10</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99</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B767-300/400</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53</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B757-200/300</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61</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88" w:before="40" w:after="40"/>
              <w:jc w:val="left"/>
              <w:rPr>
                <w:rFonts w:ascii="sans-serif" w:hAnsi="sans-serif"/>
                <w:b w:val="false"/>
                <w:color w:val="000000"/>
                <w:sz w:val="18"/>
              </w:rPr>
            </w:pPr>
            <w:r>
              <w:rPr>
                <w:rFonts w:ascii="sans-serif" w:hAnsi="sans-serif"/>
                <w:b w:val="false"/>
                <w:color w:val="000000"/>
                <w:sz w:val="18"/>
              </w:rPr>
              <w:t>B737 MAX</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320</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B737-700/800/900</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329</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A319/A320</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122</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A321neo/XLR</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86</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Total Mainline Aircraft</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1,100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1,122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1,143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1,166</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50-seat (ERJ145XR, CRJ550, CRJ450, CRJ200)</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186</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70/76-seat (E175, E170, CRJ700)</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255</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Total Regional Aircraft</w:t>
            </w:r>
          </w:p>
        </w:tc>
        <w:tc>
          <w:tcPr>
            <w:tcW w:w="91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426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441</w:t>
            </w:r>
          </w:p>
        </w:tc>
      </w:tr>
    </w:tbl>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18"/>
        </w:rPr>
      </w:pPr>
      <w:r>
        <w:rPr>
          <w:rFonts w:ascii="sans-serif" w:hAnsi="sans-serif"/>
          <w:b w:val="false"/>
          <w:color w:val="000000"/>
          <w:sz w:val="18"/>
        </w:rPr>
        <w:t xml:space="preserve">Note: Above figures correspond with current expectations for future delivery dates, which are subject to change.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3350"/>
                <wp:effectExtent l="0" t="0" r="0" b="0"/>
                <wp:wrapNone/>
                <wp:docPr id="23" name="Frame2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18"/>
                              </w:rPr>
                            </w:pPr>
                            <w:r>
                              <w:rPr>
                                <w:rFonts w:ascii="sans-serif" w:hAnsi="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18"/>
                        </w:rPr>
                      </w:pPr>
                      <w:r>
                        <w:rPr>
                          <w:rFonts w:ascii="sans-serif" w:hAnsi="sans-serif"/>
                          <w:b w:val="false"/>
                          <w:color w:val="000000"/>
                          <w:sz w:val="18"/>
                        </w:rPr>
                        <w:t>2</w:t>
                      </w:r>
                    </w:p>
                  </w:txbxContent>
                </v:textbox>
                <w10:wrap type="none"/>
              </v:rect>
            </w:pict>
          </mc:Fallback>
        </mc:AlternateContent>
      </w:r>
    </w:p>
    <w:p>
      <w:pPr>
        <w:pStyle w:val="TextBody"/>
        <w:bidi w:val="0"/>
        <w:spacing w:lineRule="auto" w:line="333" w:before="0" w:after="0"/>
        <w:jc w:val="left"/>
        <w:rPr>
          <w:rFonts w:ascii="sans-serif" w:hAnsi="sans-serif"/>
          <w:b/>
          <w:color w:val="000000"/>
          <w:sz w:val="18"/>
        </w:rPr>
      </w:pPr>
      <w:r>
        <w:rPr>
          <w:rFonts w:ascii="sans-serif" w:hAnsi="sans-serif"/>
          <w:b/>
          <w:color w:val="000000"/>
          <w:sz w:val="18"/>
        </w:rPr>
        <w:t>Cautionary Statement Regarding Forward-Looking Statements</w:t>
      </w:r>
    </w:p>
    <w:p>
      <w:pPr>
        <w:pStyle w:val="TextBody"/>
        <w:bidi w:val="0"/>
        <w:spacing w:lineRule="auto" w:line="268" w:before="0" w:after="0"/>
        <w:jc w:val="left"/>
        <w:rPr>
          <w:rFonts w:ascii="sans-serif" w:hAnsi="sans-serif"/>
          <w:b w:val="false"/>
          <w:color w:val="000000"/>
          <w:sz w:val="18"/>
        </w:rPr>
      </w:pPr>
      <w:r>
        <w:rPr>
          <w:rFonts w:ascii="sans-serif" w:hAnsi="sans-serif"/>
          <w:b w:val="false"/>
          <w:color w:val="000000"/>
          <w:sz w:val="18"/>
        </w:rPr>
        <w:t>This Investor Update contains certain "forward-looking statements," within the meaning of Section 27A of the Securities Act of 1933, as amended, and Section 21E of the Securities Exchange Act of 1934, as amended, relating to, among other things, the Company’s anticipated financial results and guidance, anticipated fuel prices, capacity, profit sharing accruals and share-based compensation expense, and fleet plans.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 objectives to differ materially from those expressed in, or implied by, the statements. Words such as "should," "could," "would," "will," "may," "expects," "plans," "intends," "anticipates," "indicates," "remains," "believes," "estimates," "projects," "forecast," "guidance," "outlook," "goals," "targets," "pledge," "confident," "optimistic," "dedicated," "positioned," "on track," "path" and other words and terms of similar meaning and expression are intended to identify forward-looking statements, although not all forward-looking statements contain such terms. All statements, other than those that relate solely to historical facts, are forward-looking statements. 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Investor Update are based upon information available to the Company on the date of this Investor Update. The Company undertakes no obligation to publicly update or revise any forward-looking statement, whether as a result of new information, future events, changed circumstances or otherwise, except as required by applicable law or regulation.</w:t>
      </w:r>
    </w:p>
    <w:p>
      <w:pPr>
        <w:pStyle w:val="TextBody"/>
        <w:bidi w:val="0"/>
        <w:spacing w:lineRule="auto" w:line="268" w:before="0" w:after="0"/>
        <w:jc w:val="left"/>
        <w:rPr>
          <w:rFonts w:ascii="sans-serif" w:hAnsi="sans-serif"/>
          <w:b w:val="false"/>
          <w:color w:val="000000"/>
          <w:sz w:val="18"/>
        </w:rPr>
      </w:pPr>
      <w:r>
        <w:rPr>
          <w:rFonts w:ascii="sans-serif" w:hAnsi="sans-serif"/>
          <w:b w:val="false"/>
          <w:color w:val="000000"/>
          <w:sz w:val="18"/>
        </w:rPr>
        <w:t xml:space="preserve">The Company’s actual results could differ materially from these forward-looking statements due to numerous factors including, without limitation, the following: execution risks associated with our strategic operating plan; changes in our fleet and network strategy or other factors outside our control resulting in less economic aircraft orders, costs related to modification or termination of aircraft orders or entry into aircraft orders on less favorable terms, as well as any inability to accept or integrate new aircraft into our fleet as planned, including as a result of any mandatory groundings of aircraft; any failure to effectively manage, and receive anticipated benefits and returns from, acquisitions, divestitures, investments, joint ventures and other portfolio actions, or related exposures to unknown liabilities or other issues or underperformance as compared to our expectations; adverse publicity, increased regulatory scrutiny, harm to our brand, reduced travel demand, potential tort liability and operational restrictions as a result of an accident, catastrophe or incident involving us, our regional carriers, our codeshare partners or another airline; the highly competitive nature of the global airline industry and susceptibility of the industry to price discounting and changes in capacity, including as a result of alliances, joint business arrangements or other consolidations; unfavorable developments affecting our MileagePlus loyalty program; our reliance on a limited number of suppliers to source a majority of our aircraft, engines and certain parts, and the impact of any failure to obtain timely deliveries, additional equipment or support from any of these suppliers; unfavorable economic and political conditions in the United States and globally; reliance on third-party service providers and the impact of any significant failure of these parties to perform as expected, or interruptions in our relationships with these providers or their provision of services; extended interruptions or disruptions in service at major airports where we operate and space, facility and infrastructure constraints at our hubs or other airports (including as a result of government shutdowns); geopolitical conflict, terrorist attacks or security events (including the suspension of our overflying in Russian airspace as a result of the Russia-Ukraine military conflict and interruptions of our flying as a result of the military conflicts across the globe, as well as any escalation of the broader economic consequences of any conflicts beyond their current scope or a delay in any planned resumption of service to an area impacted by a conflict); any damage to our reputation or brand image; disruptions to our regional network and United Express flights provided by third-party regional carriers; our reliance on technology and automated systems to operate our business and the impact of any significant failure or disruption of, or failure to effectively integrate and implement, these technologies or systems; increasing privacy, data security and cybersecurity obligations or a significant data breach; increased use of social media platforms by us, our employees and others; the impacts of union disputes, employee strikes or slowdowns, and other labor-related disruptions or regulatory compliance costs on our operations or financial performance; any failure to recruit, hire, develop or retain skilled personnel, including our senior management team or other key employees; the monetary and operational costs of compliance with extensive government regulation of the airline industry; current or future litigation and regulatory actions, or failure to comply with the terms of any settlement, order or agreement relating to these actions; costs, liabilities and risks associated with environmental regulation and climate change; high and/or volatile fuel prices or significant disruptions in the supply of aircraft fuel, including as a result of the geopolitical conflicts in the Middle East and in other regions; the impacts of our significant amount of financial leverage from fixed obligations and the impacts of insufficient liquidity on our financial condition and business; failure to comply with financial and other covenants governing our debt; limitations on our ability to use our net operating loss carryforwards and certain other tax attributes to offset future taxable income for U.S. federal income tax purposes; our failure to realize the full value of our intangible assets or our long-lived assets, causing us to record impairments; fluctuations in the price of our common stock; the impacts of seasonality and other factors associated with the airline industry; increases in insurance costs or inadequate insurance coverage; risks relating to our repurchase program for shares of the Company’s common stock and warrants; and other risks and uncertainties set forth in Part I, Item 1A. Risk Factors of our Annual Report on Form 10-K for the fiscal year ended December 31, 2025 and in Part II, Item 7. "Management’s Discussion and Analysis of Financial Condition and Results of Operations" </w:t>
      </w:r>
    </w:p>
    <w:p>
      <w:pPr>
        <w:pStyle w:val="TextBody"/>
        <w:bidi w:val="0"/>
        <w:spacing w:lineRule="auto" w:line="268" w:before="0" w:after="0"/>
        <w:jc w:val="left"/>
        <w:rPr>
          <w:rFonts w:ascii="sans-serif" w:hAnsi="sans-serif"/>
          <w:b w:val="false"/>
          <w:color w:val="000000"/>
          <w:sz w:val="18"/>
        </w:rPr>
      </w:pPr>
      <w:r>
        <w:rPr>
          <w:rFonts w:ascii="sans-serif" w:hAnsi="sans-serif"/>
          <w:b w:val="false"/>
          <w:color w:val="000000"/>
          <w:sz w:val="18"/>
        </w:rPr>
        <w:t>of our Quarterly Report on Form 10-Q for the fiscal period ended June 30, 2026, as well as other risks and uncertainties set forth from time to time in the reports we file with the SEC.</w:t>
      </w:r>
    </w:p>
    <w:p>
      <w:pPr>
        <w:pStyle w:val="TextBody"/>
        <w:bidi w:val="0"/>
        <w:spacing w:lineRule="auto" w:line="333" w:before="180" w:after="283"/>
        <w:jc w:val="left"/>
        <w:rPr>
          <w:rFonts w:ascii="sans-serif" w:hAnsi="sans-serif"/>
          <w:b/>
          <w:color w:val="000000"/>
          <w:sz w:val="18"/>
        </w:rPr>
      </w:pPr>
      <w:r>
        <w:rPr>
          <w:rFonts w:ascii="sans-serif" w:hAnsi="sans-serif"/>
          <w:b/>
          <w:color w:val="000000"/>
          <w:sz w:val="18"/>
        </w:rPr>
        <w:t>Non-GAAP Financial Information, Financial Guidance and Third-Party Reports</w:t>
      </w:r>
    </w:p>
    <w:p>
      <w:pPr>
        <w:pStyle w:val="TextBody"/>
        <w:bidi w:val="0"/>
        <w:spacing w:lineRule="auto" w:line="288"/>
        <w:jc w:val="left"/>
        <w:rPr>
          <w:rFonts w:ascii="sans-serif" w:hAnsi="sans-serif"/>
          <w:b w:val="false"/>
          <w:color w:val="000000"/>
          <w:sz w:val="18"/>
        </w:rPr>
      </w:pPr>
      <w:r>
        <w:rPr>
          <w:rFonts w:ascii="sans-serif" w:hAnsi="sans-serif"/>
          <w:b w:val="false"/>
          <w:color w:val="000000"/>
          <w:sz w:val="18"/>
        </w:rPr>
        <w:t xml:space="preserve">The Company refers to financial measures that are not in accordance with accounting principles generally accepted in the United States of America ("GAAP"). The non-GAAP financial measures are provided as supplemental information to the financial measures presented in this Investor Update that are calculated and presented in accordance with GAAP and are presented because management believes that they supplement or enhance management's, analysts' and investors' overall understanding of the Company's underlying financial performance and trends and facilitate comparisons among current, past and future periods. Because the non-GAAP financial measures are not calculated in accordance with GAAP, they should not be considered superior to and are not intended to be considered in isolation or as a substitute for the related GAAP financial measures presented in the Company’s filings with the SEC and may not be the same as or comparable to similarly titled measures presented by other companies due to possible differences in method and in the items being adjusted. The Company encourages investors to review its financial statements and publicly-filed reports in their entirety and not to rely on any single financial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3350"/>
                <wp:effectExtent l="0" t="0" r="0" b="0"/>
                <wp:wrapNone/>
                <wp:docPr id="24" name="Frame2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18"/>
                              </w:rPr>
                            </w:pPr>
                            <w:r>
                              <w:rPr>
                                <w:rFonts w:ascii="sans-serif" w:hAnsi="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18"/>
                        </w:rPr>
                      </w:pPr>
                      <w:r>
                        <w:rPr>
                          <w:rFonts w:ascii="sans-serif" w:hAnsi="sans-serif"/>
                          <w:b w:val="false"/>
                          <w:color w:val="000000"/>
                          <w:sz w:val="18"/>
                        </w:rPr>
                        <w:t>3</w:t>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18"/>
        </w:rPr>
      </w:pPr>
      <w:r>
        <w:rPr>
          <w:rFonts w:ascii="sans-serif" w:hAnsi="sans-serif"/>
          <w:b w:val="false"/>
          <w:color w:val="000000"/>
          <w:sz w:val="18"/>
        </w:rPr>
        <w:t>measure. The Company does not provide a reconciliation of forward-looking measures where the Company believes such a reconciliation would imply a degree of precision and certainty that could be confusing to investors and is unable to reasonably predict certain items contained in the GAAP measures without unreasonable efforts. This is due to the inherent difficulty of forecasting the timing or amount of various items that have not yet occurred and are out of the Company's control or cannot be reasonably predicted. For the same reasons, the Company is unable to address the probable significance of the unavailable information. Forward-looking non-GAAP financial measures provided without the most directly comparable GAAP financial measures may vary materially from the corresponding GAAP financial measures. Any reference to reports, estimates, forecasts, opinions or other information prepared by securities analysts or other third parties is provided for informational purposes only. These reports and information are prepared by the analysts or third parties alone and do not represent the views, opinions, forecasts, predictions or recommendations of the Company or its management. By referring to or distributing any such report or information, the Company does not endorse, adopt or approve it or any of its contents or conclusions. The Company takes no responsibility for the accuracy, completeness or timeliness of the information in any such report, and it undertakes no obligation to update, correct or comment on that information.</w:t>
      </w:r>
    </w:p>
    <w:p>
      <w:pPr>
        <w:pStyle w:val="TextBody"/>
        <w:bidi w:val="0"/>
        <w:spacing w:lineRule="auto" w:line="333"/>
        <w:jc w:val="center"/>
        <w:rPr>
          <w:rFonts w:ascii="sans-serif" w:hAnsi="sans-serif"/>
          <w:b w:val="false"/>
          <w:color w:val="000000"/>
          <w:sz w:val="18"/>
        </w:rPr>
      </w:pPr>
      <w:r>
        <w:rPr>
          <w:rFonts w:ascii="sans-serif" w:hAnsi="sans-serif"/>
          <w:b w:val="false"/>
          <w:color w:val="000000"/>
          <w:sz w:val="18"/>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3350"/>
                <wp:effectExtent l="0" t="0" r="0" b="0"/>
                <wp:wrapNone/>
                <wp:docPr id="25" name="Frame2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sans-serif" w:hAnsi="sans-serif"/>
                                <w:b w:val="false"/>
                                <w:color w:val="000000"/>
                                <w:sz w:val="18"/>
                              </w:rPr>
                            </w:pPr>
                            <w:r>
                              <w:rPr>
                                <w:rFonts w:ascii="sans-serif" w:hAnsi="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val="false"/>
                          <w:color w:val="000000"/>
                          <w:sz w:val="18"/>
                        </w:rPr>
                      </w:pPr>
                      <w:r>
                        <w:rPr>
                          <w:rFonts w:ascii="sans-serif" w:hAnsi="sans-serif"/>
                          <w:b w:val="false"/>
                          <w:color w:val="000000"/>
                          <w:sz w:val="18"/>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10416</Words>
  <Characters>58986</Characters>
  <CharactersWithSpaces>68520</CharactersWithSpaces>
  <Paragraphs>1663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