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284927.xml.htm"/>
      <w:bookmarkStart w:id="1" w:name="kswkform4_17852849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Enqvist Torbjorn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66100 HDQLD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United Airlines Holdings, Inc.</w:t>
              </w:r>
            </w:hyperlink>
            <w:r>
              <w:rPr/>
              <w:t xml:space="preserve"> [ </w:t>
            </w:r>
            <w:r>
              <w:rPr>
                <w:rFonts w:ascii="Times;serif" w:hAnsi="Times;serif"/>
                <w:color w:val="0000FF"/>
                <w:sz w:val="24"/>
                <w:shd w:fill="FFFFFF" w:val="clear"/>
              </w:rPr>
              <w:t>UAL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Operations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119.91</w:t>
            </w: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24,971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139,771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9,825</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118.27</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129,946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$119.86 to $119.95, inclusive. The reporting person undertakes to provide to United Airlines Holdings, Inc., any security holder of United Airlines Holdings, Inc. or the staff of the Securities and Exchange Commission, upon request, full information regarding the number of shares sold at each separate price within the ranges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UAL common stock acquired upon the settlement of performance-based restricted stock units ("PB RSUs") granted to the reporting person in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represents the withholding of shares to pay tax withholding obligations associated with the settlement of the PB RSU awards referenced in footnote 1,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Cotton for Torbjorn J. Enqvist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6177" TargetMode="External"/><Relationship Id="rId5" Type="http://schemas.openxmlformats.org/officeDocument/2006/relationships/hyperlink" Target="http://www.sec.gov/cgi-bin/browse-edgar?action=getcompany&amp;CIK=00001005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3888</Characters>
  <CharactersWithSpaces>4521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