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94" w:right="1440" w:bottom="1440" w:gutter="0" w:footer="0" w:header="0"/>
        </w:sectPr>
      </w:pPr>
    </w:p>
    <w:p>
      <w:pPr>
        <w:spacing w:after="0" w:line="381" w:lineRule="exact"/>
        <w:rPr>
          <w:sz w:val="24"/>
          <w:szCs w:val="24"/>
          <w:color w:val="auto"/>
        </w:rPr>
      </w:pPr>
    </w:p>
    <w:tbl>
      <w:tblPr>
        <w:tblLayout w:type="fixed"/>
        <w:tblInd w:w="480" w:type="dxa"/>
        <w:tblCellMar>
          <w:top w:w="0" w:type="dxa"/>
          <w:left w:w="0" w:type="dxa"/>
          <w:bottom w:w="0" w:type="dxa"/>
          <w:right w:w="0" w:type="dxa"/>
        </w:tblCellMar>
      </w:tblPr>
      <w:tr>
        <w:trPr>
          <w:trHeight w:val="1264"/>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may be changed. This</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7"/>
              </w:rPr>
              <w:t>in any state where the</w:t>
            </w:r>
          </w:p>
        </w:tc>
      </w:tr>
      <w:tr>
        <w:trPr>
          <w:trHeight w:val="130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it is not complete and</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8"/>
              </w:rPr>
              <w:t>to buy these securities</w:t>
            </w:r>
          </w:p>
        </w:tc>
      </w:tr>
      <w:tr>
        <w:trPr>
          <w:trHeight w:val="99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as amended, but</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5"/>
              </w:rPr>
              <w:t>soliciting an offer</w:t>
            </w:r>
          </w:p>
        </w:tc>
      </w:tr>
      <w:tr>
        <w:trPr>
          <w:trHeight w:val="1572"/>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the Securities Act of 1933,</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8"/>
              </w:rPr>
              <w:t>these securities and are not</w:t>
            </w:r>
          </w:p>
        </w:tc>
      </w:tr>
      <w:tr>
        <w:trPr>
          <w:trHeight w:val="378"/>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5"/>
              </w:rPr>
              <w:t>under</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7"/>
              </w:rPr>
              <w:t>to sell</w:t>
            </w:r>
          </w:p>
        </w:tc>
      </w:tr>
      <w:tr>
        <w:trPr>
          <w:trHeight w:val="4871"/>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This preliminary prospectus supplement relates to an effective registration statement</w:t>
            </w:r>
          </w:p>
        </w:tc>
        <w:tc>
          <w:tcPr>
            <w:tcW w:w="260" w:type="dxa"/>
            <w:vAlign w:val="bottom"/>
            <w:textDirection w:val="btLr"/>
          </w:tcPr>
          <w:p>
            <w:pPr>
              <w:ind w:left="122"/>
              <w:spacing w:after="0"/>
              <w:rPr>
                <w:sz w:val="20"/>
                <w:szCs w:val="20"/>
                <w:color w:val="auto"/>
              </w:rPr>
            </w:pPr>
            <w:r>
              <w:rPr>
                <w:rFonts w:ascii="Arial" w:cs="Arial" w:eastAsia="Arial" w:hAnsi="Arial"/>
                <w:sz w:val="12"/>
                <w:szCs w:val="12"/>
                <w:b w:val="1"/>
                <w:bCs w:val="1"/>
                <w:color w:val="FC0014"/>
                <w:w w:val="75"/>
              </w:rPr>
              <w:t>preliminary prospectus supplement and the accompanying prospectus are not an offerofferorsaleisnotpermitted.</w:t>
            </w:r>
          </w:p>
        </w:tc>
      </w:tr>
    </w:tbl>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ind w:left="5200"/>
        <w:spacing w:after="0"/>
        <w:rPr>
          <w:sz w:val="20"/>
          <w:szCs w:val="20"/>
          <w:color w:val="auto"/>
        </w:rPr>
      </w:pPr>
      <w:r>
        <w:rPr>
          <w:rFonts w:ascii="Arial" w:cs="Arial" w:eastAsia="Arial" w:hAnsi="Arial"/>
          <w:sz w:val="15"/>
          <w:szCs w:val="15"/>
          <w:b w:val="1"/>
          <w:bCs w:val="1"/>
          <w:color w:val="auto"/>
        </w:rPr>
        <w:t> Filed Pursuant to Rule 424(b)(3)​</w:t>
      </w:r>
    </w:p>
    <w:p>
      <w:pPr>
        <w:ind w:left="3960"/>
        <w:spacing w:after="0"/>
        <w:rPr>
          <w:sz w:val="20"/>
          <w:szCs w:val="20"/>
          <w:color w:val="auto"/>
        </w:rPr>
      </w:pPr>
      <w:r>
        <w:rPr>
          <w:rFonts w:ascii="Arial" w:cs="Arial" w:eastAsia="Arial" w:hAnsi="Arial"/>
          <w:sz w:val="14"/>
          <w:szCs w:val="14"/>
          <w:b w:val="1"/>
          <w:bCs w:val="1"/>
          <w:color w:val="auto"/>
        </w:rPr>
        <w:t>  Registration Nos. 333-275664 and 333-275664-01 ​</w:t>
      </w:r>
    </w:p>
    <w:p>
      <w:pPr>
        <w:spacing w:after="0" w:line="35" w:lineRule="exact"/>
        <w:rPr>
          <w:sz w:val="24"/>
          <w:szCs w:val="24"/>
          <w:color w:val="auto"/>
        </w:rPr>
      </w:pPr>
    </w:p>
    <w:p>
      <w:pPr>
        <w:ind w:left="2200"/>
        <w:spacing w:after="0"/>
        <w:rPr>
          <w:sz w:val="20"/>
          <w:szCs w:val="20"/>
          <w:color w:val="auto"/>
        </w:rPr>
      </w:pPr>
      <w:r>
        <w:rPr>
          <w:rFonts w:ascii="Arial" w:cs="Arial" w:eastAsia="Arial" w:hAnsi="Arial"/>
          <w:sz w:val="15"/>
          <w:szCs w:val="15"/>
          <w:color w:val="FC0014"/>
        </w:rPr>
        <w:t>Subject to Completion dated February 3, 2026</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November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47180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161" w:lineRule="exact"/>
        <w:rPr>
          <w:sz w:val="24"/>
          <w:szCs w:val="24"/>
          <w:color w:val="auto"/>
        </w:rPr>
      </w:pPr>
    </w:p>
    <w:p>
      <w:pPr>
        <w:ind w:left="2900"/>
        <w:spacing w:after="0"/>
        <w:rPr>
          <w:sz w:val="20"/>
          <w:szCs w:val="20"/>
          <w:color w:val="auto"/>
        </w:rPr>
      </w:pPr>
      <w:r>
        <w:rPr>
          <w:rFonts w:ascii="Arial" w:cs="Arial" w:eastAsia="Arial" w:hAnsi="Arial"/>
          <w:sz w:val="24"/>
          <w:szCs w:val="24"/>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1096645</wp:posOffset>
            </wp:positionH>
            <wp:positionV relativeFrom="paragraph">
              <wp:posOffset>72390</wp:posOffset>
            </wp:positionV>
            <wp:extent cx="2523490"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3490" cy="518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40" w:right="2579" w:hanging="900"/>
        <w:spacing w:after="0" w:line="251" w:lineRule="auto"/>
        <w:tabs>
          <w:tab w:leader="none" w:pos="2181" w:val="left"/>
        </w:tabs>
        <w:numPr>
          <w:ilvl w:val="0"/>
          <w:numId w:val="1"/>
        </w:numPr>
        <w:rPr>
          <w:rFonts w:ascii="Arial" w:cs="Arial" w:eastAsia="Arial" w:hAnsi="Arial"/>
          <w:sz w:val="24"/>
          <w:szCs w:val="24"/>
          <w:color w:val="auto"/>
        </w:rPr>
      </w:pPr>
      <w:r>
        <w:rPr>
          <w:rFonts w:ascii="Arial" w:cs="Arial" w:eastAsia="Arial" w:hAnsi="Arial"/>
          <w:sz w:val="24"/>
          <w:szCs w:val="24"/>
          <w:color w:val="auto"/>
        </w:rPr>
        <w:t>        % Senior Notes due 2029 Guaranteed by</w:t>
      </w:r>
    </w:p>
    <w:p>
      <w:pPr>
        <w:spacing w:after="0" w:line="21" w:lineRule="exact"/>
        <w:rPr>
          <w:sz w:val="24"/>
          <w:szCs w:val="24"/>
          <w:color w:val="auto"/>
        </w:rPr>
      </w:pPr>
    </w:p>
    <w:p>
      <w:pPr>
        <w:ind w:left="2560"/>
        <w:spacing w:after="0"/>
        <w:rPr>
          <w:sz w:val="20"/>
          <w:szCs w:val="20"/>
          <w:color w:val="auto"/>
        </w:rPr>
      </w:pPr>
      <w:r>
        <w:rPr>
          <w:rFonts w:ascii="Arial" w:cs="Arial" w:eastAsia="Arial" w:hAnsi="Arial"/>
          <w:sz w:val="26"/>
          <w:szCs w:val="26"/>
          <w:color w:val="auto"/>
        </w:rPr>
        <w:t>United Airlines,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4718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208" w:lineRule="exact"/>
        <w:rPr>
          <w:sz w:val="24"/>
          <w:szCs w:val="24"/>
          <w:color w:val="auto"/>
        </w:rPr>
      </w:pPr>
    </w:p>
    <w:p>
      <w:pPr>
        <w:jc w:val="both"/>
        <w:ind w:right="539"/>
        <w:spacing w:after="0" w:line="252" w:lineRule="auto"/>
        <w:rPr>
          <w:sz w:val="20"/>
          <w:szCs w:val="20"/>
          <w:color w:val="auto"/>
        </w:rPr>
      </w:pPr>
      <w:r>
        <w:rPr>
          <w:rFonts w:ascii="Arial" w:cs="Arial" w:eastAsia="Arial" w:hAnsi="Arial"/>
          <w:sz w:val="15"/>
          <w:szCs w:val="15"/>
          <w:color w:val="auto"/>
        </w:rPr>
        <w:t>We will pay interest at the rate of           % per year on the principal amount of the notes semiannually in arrears on March 1 and September 1 of each year, beginning September 1, 2026. The notes will mature on March 1, 2029.</w:t>
      </w:r>
    </w:p>
    <w:p>
      <w:pPr>
        <w:spacing w:after="0" w:line="42" w:lineRule="exact"/>
        <w:rPr>
          <w:sz w:val="24"/>
          <w:szCs w:val="24"/>
          <w:color w:val="auto"/>
        </w:rPr>
      </w:pPr>
    </w:p>
    <w:p>
      <w:pPr>
        <w:jc w:val="both"/>
        <w:ind w:right="539"/>
        <w:spacing w:after="0" w:line="241" w:lineRule="auto"/>
        <w:rPr>
          <w:sz w:val="20"/>
          <w:szCs w:val="20"/>
          <w:color w:val="auto"/>
        </w:rPr>
      </w:pPr>
      <w:r>
        <w:rPr>
          <w:rFonts w:ascii="Arial" w:cs="Arial" w:eastAsia="Arial" w:hAnsi="Arial"/>
          <w:sz w:val="15"/>
          <w:szCs w:val="15"/>
          <w:color w:val="auto"/>
        </w:rPr>
        <w:t>We may redeem all of the notes at any time or a portion of the notes from time to time prior to their maturity for cash at the redemption price described in this prospectus supplement. Upon the occurrence of a Change of Control Triggering Event, as defined in this prospectus supplement, we may be required to make an offer to repurchase all of the notes at a price equal to 101% of the principal amount thereof plus accrued and unpaid interest, if any, to the purchase date.</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The notes will be fully and unconditionally guaranteed by our subsidiary United Airlines, Inc.</w:t>
      </w:r>
    </w:p>
    <w:p>
      <w:pPr>
        <w:spacing w:after="0" w:line="81" w:lineRule="exact"/>
        <w:rPr>
          <w:sz w:val="24"/>
          <w:szCs w:val="24"/>
          <w:color w:val="auto"/>
        </w:rPr>
      </w:pPr>
    </w:p>
    <w:p>
      <w:pPr>
        <w:jc w:val="both"/>
        <w:ind w:right="539"/>
        <w:spacing w:after="0" w:line="242" w:lineRule="auto"/>
        <w:rPr>
          <w:sz w:val="20"/>
          <w:szCs w:val="20"/>
          <w:color w:val="auto"/>
        </w:rPr>
      </w:pPr>
      <w:r>
        <w:rPr>
          <w:rFonts w:ascii="Arial" w:cs="Arial" w:eastAsia="Arial" w:hAnsi="Arial"/>
          <w:sz w:val="15"/>
          <w:szCs w:val="15"/>
          <w:color w:val="auto"/>
        </w:rPr>
        <w:t>The notes represent our senior unsecured obligations, and the note guarantee represents the senior unsecured obligation of the guarantor. The notes and the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obligations of our subsidiaries other than the guarantor.</w:t>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color w:val="auto"/>
        </w:rPr>
        <w:t>The notes will not be listed on any national securities exchange.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20"/>
                <w:szCs w:val="20"/>
                <w:color w:val="auto"/>
              </w:rPr>
            </w:pPr>
            <w:r>
              <w:rPr>
                <w:rFonts w:ascii="Arial" w:cs="Arial" w:eastAsia="Arial" w:hAnsi="Arial"/>
                <w:sz w:val="13"/>
                <w:szCs w:val="13"/>
                <w:b w:val="1"/>
                <w:bCs w:val="1"/>
                <w:color w:val="auto"/>
              </w:rPr>
              <w:t>​</w:t>
            </w:r>
          </w:p>
        </w:tc>
        <w:tc>
          <w:tcPr>
            <w:tcW w:w="1380" w:type="dxa"/>
            <w:vAlign w:val="bottom"/>
          </w:tcPr>
          <w:p>
            <w:pPr>
              <w:ind w:left="1240"/>
              <w:spacing w:after="0"/>
              <w:rPr>
                <w:sz w:val="20"/>
                <w:szCs w:val="20"/>
                <w:color w:val="auto"/>
              </w:rPr>
            </w:pPr>
            <w:r>
              <w:rPr>
                <w:rFonts w:ascii="Arial" w:cs="Arial" w:eastAsia="Arial" w:hAnsi="Arial"/>
                <w:sz w:val="13"/>
                <w:szCs w:val="13"/>
                <w:b w:val="1"/>
                <w:bCs w:val="1"/>
                <w:color w:val="auto"/>
              </w:rPr>
              <w:t>​ ​</w:t>
            </w:r>
          </w:p>
        </w:tc>
        <w:tc>
          <w:tcPr>
            <w:tcW w:w="980" w:type="dxa"/>
            <w:vAlign w:val="bottom"/>
          </w:tcPr>
          <w:p>
            <w:pPr>
              <w:ind w:left="220"/>
              <w:spacing w:after="0"/>
              <w:rPr>
                <w:sz w:val="20"/>
                <w:szCs w:val="20"/>
                <w:color w:val="auto"/>
              </w:rPr>
            </w:pPr>
            <w:r>
              <w:rPr>
                <w:rFonts w:ascii="Arial" w:cs="Arial" w:eastAsia="Arial" w:hAnsi="Arial"/>
                <w:sz w:val="13"/>
                <w:szCs w:val="13"/>
                <w:b w:val="1"/>
                <w:bCs w:val="1"/>
                <w:color w:val="auto"/>
              </w:rPr>
              <w:t>Per Note</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980" w:type="dxa"/>
            <w:vAlign w:val="bottom"/>
          </w:tcPr>
          <w:p>
            <w:pPr>
              <w:ind w:left="34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line="199" w:lineRule="exact"/>
              <w:rPr>
                <w:sz w:val="20"/>
                <w:szCs w:val="20"/>
                <w:color w:val="auto"/>
              </w:rPr>
            </w:pPr>
            <w:r>
              <w:rPr>
                <w:rFonts w:ascii="Arial" w:cs="Arial" w:eastAsia="Arial" w:hAnsi="Arial"/>
                <w:sz w:val="15"/>
                <w:szCs w:val="15"/>
                <w:color w:val="auto"/>
              </w:rPr>
              <w:t>Public offering price</w:t>
            </w:r>
            <w:r>
              <w:rPr>
                <w:rFonts w:ascii="Arial" w:cs="Arial" w:eastAsia="Arial" w:hAnsi="Arial"/>
                <w:sz w:val="19"/>
                <w:szCs w:val="19"/>
                <w:color w:val="auto"/>
                <w:vertAlign w:val="superscript"/>
              </w:rPr>
              <w:t>(1)</w:t>
            </w:r>
          </w:p>
        </w:tc>
        <w:tc>
          <w:tcPr>
            <w:tcW w:w="138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900" w:type="dxa"/>
            <w:vAlign w:val="bottom"/>
            <w:vMerge w:val="continue"/>
            <w:shd w:val="clear" w:color="auto" w:fill="CCEEFF"/>
          </w:tcPr>
          <w:p>
            <w:pPr>
              <w:spacing w:after="0"/>
              <w:rPr>
                <w:sz w:val="15"/>
                <w:szCs w:val="15"/>
                <w:color w:val="auto"/>
              </w:rPr>
            </w:pPr>
          </w:p>
        </w:tc>
        <w:tc>
          <w:tcPr>
            <w:tcW w:w="1380" w:type="dxa"/>
            <w:vAlign w:val="bottom"/>
            <w:vMerge w:val="restart"/>
            <w:shd w:val="clear" w:color="auto" w:fill="CCEEFF"/>
          </w:tcPr>
          <w:p>
            <w:pPr>
              <w:ind w:left="1240"/>
              <w:spacing w:after="0"/>
              <w:rPr>
                <w:sz w:val="20"/>
                <w:szCs w:val="20"/>
                <w:color w:val="auto"/>
              </w:rPr>
            </w:pPr>
            <w:r>
              <w:rPr>
                <w:rFonts w:ascii="Arial" w:cs="Arial" w:eastAsia="Arial" w:hAnsi="Arial"/>
                <w:sz w:val="15"/>
                <w:szCs w:val="15"/>
                <w:color w:val="auto"/>
              </w:rPr>
              <w:t>​ ​</w:t>
            </w:r>
          </w:p>
        </w:tc>
        <w:tc>
          <w:tcPr>
            <w:tcW w:w="9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9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 xml:space="preserve">$                 </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4"/>
        </w:trPr>
        <w:tc>
          <w:tcPr>
            <w:tcW w:w="3900" w:type="dxa"/>
            <w:vAlign w:val="bottom"/>
            <w:shd w:val="clear" w:color="auto" w:fill="CCEEFF"/>
          </w:tcPr>
          <w:p>
            <w:pPr>
              <w:spacing w:after="0"/>
              <w:rPr>
                <w:sz w:val="3"/>
                <w:szCs w:val="3"/>
                <w:color w:val="auto"/>
              </w:rPr>
            </w:pPr>
          </w:p>
        </w:tc>
        <w:tc>
          <w:tcPr>
            <w:tcW w:w="1380" w:type="dxa"/>
            <w:vAlign w:val="bottom"/>
            <w:vMerge w:val="continue"/>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ind w:left="240"/>
              <w:spacing w:after="0" w:line="45" w:lineRule="exact"/>
              <w:rPr>
                <w:sz w:val="20"/>
                <w:szCs w:val="20"/>
                <w:color w:val="auto"/>
              </w:rPr>
            </w:pPr>
            <w:r>
              <w:rPr>
                <w:rFonts w:ascii="Arial" w:cs="Arial" w:eastAsia="Arial" w:hAnsi="Arial"/>
                <w:sz w:val="5"/>
                <w:szCs w:val="5"/>
                <w:b w:val="1"/>
                <w:bCs w:val="1"/>
                <w:color w:val="auto"/>
              </w:rPr>
              <w:t>​</w:t>
            </w:r>
          </w:p>
        </w:tc>
        <w:tc>
          <w:tcPr>
            <w:tcW w:w="180" w:type="dxa"/>
            <w:vAlign w:val="bottom"/>
            <w:vMerge w:val="continue"/>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ind w:left="80"/>
              <w:spacing w:after="0" w:line="45" w:lineRule="exact"/>
              <w:rPr>
                <w:sz w:val="20"/>
                <w:szCs w:val="20"/>
                <w:color w:val="auto"/>
              </w:rPr>
            </w:pPr>
            <w:r>
              <w:rPr>
                <w:rFonts w:ascii="Arial" w:cs="Arial" w:eastAsia="Arial" w:hAnsi="Arial"/>
                <w:sz w:val="5"/>
                <w:szCs w:val="5"/>
                <w:color w:val="auto"/>
              </w:rPr>
              <w:t>​</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line="166" w:lineRule="exact"/>
              <w:rPr>
                <w:sz w:val="20"/>
                <w:szCs w:val="20"/>
                <w:color w:val="auto"/>
              </w:rPr>
            </w:pPr>
            <w:r>
              <w:rPr>
                <w:rFonts w:ascii="Arial" w:cs="Arial" w:eastAsia="Arial" w:hAnsi="Arial"/>
                <w:sz w:val="15"/>
                <w:szCs w:val="15"/>
                <w:color w:val="auto"/>
              </w:rPr>
              <w:t>Underwriting discounts and commissions</w:t>
            </w:r>
          </w:p>
        </w:tc>
        <w:tc>
          <w:tcPr>
            <w:tcW w:w="1380" w:type="dxa"/>
            <w:vAlign w:val="bottom"/>
            <w:vMerge w:val="restart"/>
          </w:tcPr>
          <w:p>
            <w:pPr>
              <w:ind w:left="1240"/>
              <w:spacing w:after="0"/>
              <w:rPr>
                <w:sz w:val="20"/>
                <w:szCs w:val="20"/>
                <w:color w:val="auto"/>
              </w:rPr>
            </w:pPr>
            <w:r>
              <w:rPr>
                <w:rFonts w:ascii="Arial" w:cs="Arial" w:eastAsia="Arial" w:hAnsi="Arial"/>
                <w:sz w:val="15"/>
                <w:szCs w:val="15"/>
                <w:color w:val="auto"/>
              </w:rPr>
              <w:t>​ ​</w:t>
            </w:r>
          </w:p>
        </w:tc>
        <w:tc>
          <w:tcPr>
            <w:tcW w:w="980" w:type="dxa"/>
            <w:vAlign w:val="bottom"/>
          </w:tcPr>
          <w:p>
            <w:pPr>
              <w:ind w:left="240"/>
              <w:spacing w:after="0" w:line="166" w:lineRule="exact"/>
              <w:rPr>
                <w:sz w:val="20"/>
                <w:szCs w:val="20"/>
                <w:color w:val="auto"/>
              </w:rPr>
            </w:pPr>
            <w:r>
              <w:rPr>
                <w:rFonts w:ascii="Arial" w:cs="Arial" w:eastAsia="Arial" w:hAnsi="Arial"/>
                <w:sz w:val="15"/>
                <w:szCs w:val="15"/>
                <w:color w:val="auto"/>
              </w:rPr>
              <w:t>            %</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980" w:type="dxa"/>
            <w:vAlign w:val="bottom"/>
          </w:tcPr>
          <w:p>
            <w:pPr>
              <w:ind w:left="80"/>
              <w:spacing w:after="0" w:line="166" w:lineRule="exact"/>
              <w:rPr>
                <w:sz w:val="20"/>
                <w:szCs w:val="20"/>
                <w:color w:val="auto"/>
              </w:rPr>
            </w:pPr>
            <w:r>
              <w:rPr>
                <w:rFonts w:ascii="Arial" w:cs="Arial" w:eastAsia="Arial" w:hAnsi="Arial"/>
                <w:sz w:val="15"/>
                <w:szCs w:val="15"/>
                <w:color w:val="auto"/>
              </w:rPr>
              <w:t xml:space="preserve">$                 </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980" w:type="dxa"/>
            <w:vAlign w:val="bottom"/>
          </w:tcPr>
          <w:p>
            <w:pPr>
              <w:ind w:left="240"/>
              <w:spacing w:after="0" w:line="45" w:lineRule="exact"/>
              <w:rPr>
                <w:sz w:val="20"/>
                <w:szCs w:val="20"/>
                <w:color w:val="auto"/>
              </w:rPr>
            </w:pPr>
            <w:r>
              <w:rPr>
                <w:rFonts w:ascii="Arial" w:cs="Arial" w:eastAsia="Arial" w:hAnsi="Arial"/>
                <w:sz w:val="5"/>
                <w:szCs w:val="5"/>
                <w:b w:val="1"/>
                <w:bCs w:val="1"/>
                <w:color w:val="auto"/>
              </w:rPr>
              <w:t>​</w:t>
            </w:r>
          </w:p>
        </w:tc>
        <w:tc>
          <w:tcPr>
            <w:tcW w:w="180" w:type="dxa"/>
            <w:vAlign w:val="bottom"/>
            <w:vMerge w:val="continue"/>
          </w:tcPr>
          <w:p>
            <w:pPr>
              <w:spacing w:after="0"/>
              <w:rPr>
                <w:sz w:val="3"/>
                <w:szCs w:val="3"/>
                <w:color w:val="auto"/>
              </w:rPr>
            </w:pPr>
          </w:p>
        </w:tc>
        <w:tc>
          <w:tcPr>
            <w:tcW w:w="980" w:type="dxa"/>
            <w:vAlign w:val="bottom"/>
          </w:tcPr>
          <w:p>
            <w:pPr>
              <w:ind w:left="80"/>
              <w:spacing w:after="0" w:line="45" w:lineRule="exact"/>
              <w:rPr>
                <w:sz w:val="20"/>
                <w:szCs w:val="20"/>
                <w:color w:val="auto"/>
              </w:rPr>
            </w:pPr>
            <w:r>
              <w:rPr>
                <w:rFonts w:ascii="Arial" w:cs="Arial" w:eastAsia="Arial" w:hAnsi="Arial"/>
                <w:sz w:val="5"/>
                <w:szCs w:val="5"/>
                <w:color w:val="auto"/>
              </w:rPr>
              <w:t>​</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Proceeds, before expenses, to us</w:t>
            </w:r>
          </w:p>
        </w:tc>
        <w:tc>
          <w:tcPr>
            <w:tcW w:w="1380" w:type="dxa"/>
            <w:vAlign w:val="bottom"/>
            <w:vMerge w:val="restart"/>
            <w:shd w:val="clear" w:color="auto" w:fill="CCEEFF"/>
          </w:tcPr>
          <w:p>
            <w:pPr>
              <w:ind w:left="1240"/>
              <w:spacing w:after="0"/>
              <w:rPr>
                <w:sz w:val="20"/>
                <w:szCs w:val="20"/>
                <w:color w:val="auto"/>
              </w:rPr>
            </w:pPr>
            <w:r>
              <w:rPr>
                <w:rFonts w:ascii="Arial" w:cs="Arial" w:eastAsia="Arial" w:hAnsi="Arial"/>
                <w:sz w:val="15"/>
                <w:szCs w:val="15"/>
                <w:color w:val="auto"/>
              </w:rPr>
              <w:t>​ ​</w:t>
            </w:r>
          </w:p>
        </w:tc>
        <w:tc>
          <w:tcPr>
            <w:tcW w:w="980" w:type="dxa"/>
            <w:vAlign w:val="bottom"/>
            <w:tcBorders>
              <w:right w:val="single" w:sz="8" w:color="CCEEFF"/>
            </w:tcBorders>
            <w:shd w:val="clear" w:color="auto" w:fill="CCEEFF"/>
          </w:tcPr>
          <w:p>
            <w:pPr>
              <w:ind w:left="240"/>
              <w:spacing w:after="0" w:line="166" w:lineRule="exact"/>
              <w:rPr>
                <w:sz w:val="20"/>
                <w:szCs w:val="20"/>
                <w:color w:val="auto"/>
              </w:rPr>
            </w:pPr>
            <w:r>
              <w:rPr>
                <w:rFonts w:ascii="Arial" w:cs="Arial" w:eastAsia="Arial" w:hAnsi="Arial"/>
                <w:sz w:val="15"/>
                <w:szCs w:val="15"/>
                <w:color w:val="auto"/>
              </w:rPr>
              <w:t>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980" w:type="dxa"/>
            <w:vAlign w:val="bottom"/>
            <w:tcBorders>
              <w:right w:val="single" w:sz="8" w:color="CCEEFF"/>
            </w:tcBorders>
            <w:shd w:val="clear" w:color="auto" w:fill="CCEEFF"/>
          </w:tcPr>
          <w:p>
            <w:pPr>
              <w:ind w:left="80"/>
              <w:spacing w:after="0" w:line="166" w:lineRule="exact"/>
              <w:rPr>
                <w:sz w:val="20"/>
                <w:szCs w:val="20"/>
                <w:color w:val="auto"/>
              </w:rPr>
            </w:pPr>
            <w:r>
              <w:rPr>
                <w:rFonts w:ascii="Arial" w:cs="Arial" w:eastAsia="Arial" w:hAnsi="Arial"/>
                <w:sz w:val="15"/>
                <w:szCs w:val="15"/>
                <w:color w:val="auto"/>
              </w:rPr>
              <w:t xml:space="preserve">$                 </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4"/>
        </w:trPr>
        <w:tc>
          <w:tcPr>
            <w:tcW w:w="3900" w:type="dxa"/>
            <w:vAlign w:val="bottom"/>
            <w:shd w:val="clear" w:color="auto" w:fill="CCEEFF"/>
          </w:tcPr>
          <w:p>
            <w:pPr>
              <w:spacing w:after="0"/>
              <w:rPr>
                <w:sz w:val="3"/>
                <w:szCs w:val="3"/>
                <w:color w:val="auto"/>
              </w:rPr>
            </w:pPr>
          </w:p>
        </w:tc>
        <w:tc>
          <w:tcPr>
            <w:tcW w:w="1380" w:type="dxa"/>
            <w:vAlign w:val="bottom"/>
            <w:vMerge w:val="continue"/>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ind w:left="240"/>
              <w:spacing w:after="0" w:line="45" w:lineRule="exact"/>
              <w:rPr>
                <w:sz w:val="20"/>
                <w:szCs w:val="20"/>
                <w:color w:val="auto"/>
              </w:rPr>
            </w:pPr>
            <w:r>
              <w:rPr>
                <w:rFonts w:ascii="Arial" w:cs="Arial" w:eastAsia="Arial" w:hAnsi="Arial"/>
                <w:sz w:val="5"/>
                <w:szCs w:val="5"/>
                <w:b w:val="1"/>
                <w:bCs w:val="1"/>
                <w:color w:val="auto"/>
              </w:rPr>
              <w:t>​</w:t>
            </w:r>
          </w:p>
        </w:tc>
        <w:tc>
          <w:tcPr>
            <w:tcW w:w="180" w:type="dxa"/>
            <w:vAlign w:val="bottom"/>
            <w:vMerge w:val="continue"/>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ind w:left="80"/>
              <w:spacing w:after="0" w:line="45" w:lineRule="exact"/>
              <w:rPr>
                <w:sz w:val="20"/>
                <w:szCs w:val="20"/>
                <w:color w:val="auto"/>
              </w:rPr>
            </w:pPr>
            <w:r>
              <w:rPr>
                <w:rFonts w:ascii="Arial" w:cs="Arial" w:eastAsia="Arial" w:hAnsi="Arial"/>
                <w:sz w:val="5"/>
                <w:szCs w:val="5"/>
                <w:color w:val="auto"/>
              </w:rPr>
              <w:t>​</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40938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38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wp:posOffset>
            </wp:positionV>
            <wp:extent cx="4489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945" cy="698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5"/>
          <w:szCs w:val="15"/>
          <w:color w:val="auto"/>
        </w:rPr>
        <w:t>(1)  Plus accrued interest, if any, from the date of issuance.</w:t>
      </w:r>
    </w:p>
    <w:p>
      <w:pPr>
        <w:spacing w:after="0" w:line="75" w:lineRule="exact"/>
        <w:rPr>
          <w:sz w:val="24"/>
          <w:szCs w:val="24"/>
          <w:color w:val="auto"/>
        </w:rPr>
      </w:pPr>
    </w:p>
    <w:p>
      <w:pPr>
        <w:jc w:val="both"/>
        <w:ind w:right="539"/>
        <w:spacing w:after="0" w:line="259" w:lineRule="auto"/>
        <w:rPr>
          <w:sz w:val="20"/>
          <w:szCs w:val="20"/>
          <w:color w:val="auto"/>
        </w:rPr>
      </w:pPr>
      <w:r>
        <w:rPr>
          <w:rFonts w:ascii="Arial" w:cs="Arial" w:eastAsia="Arial" w:hAnsi="Arial"/>
          <w:sz w:val="18"/>
          <w:szCs w:val="18"/>
          <w:i w:val="1"/>
          <w:iCs w:val="1"/>
          <w:color w:val="auto"/>
        </w:rPr>
        <w:t xml:space="preserve">Investing in our notes involves risk. See “Risk Factors” beginning on page </w:t>
      </w:r>
      <w:r>
        <w:rPr>
          <w:rFonts w:ascii="Arial" w:cs="Arial" w:eastAsia="Arial" w:hAnsi="Arial"/>
          <w:sz w:val="18"/>
          <w:szCs w:val="18"/>
          <w:i w:val="1"/>
          <w:iCs w:val="1"/>
          <w:u w:val="single" w:color="auto"/>
          <w:color w:val="0000EE"/>
        </w:rPr>
        <w:t>S-5</w:t>
      </w:r>
      <w:r>
        <w:rPr>
          <w:rFonts w:ascii="Arial" w:cs="Arial" w:eastAsia="Arial" w:hAnsi="Arial"/>
          <w:sz w:val="18"/>
          <w:szCs w:val="18"/>
          <w:i w:val="1"/>
          <w:iCs w:val="1"/>
          <w:color w:val="auto"/>
        </w:rPr>
        <w:t xml:space="preserve"> of this prospectus supplement.</w:t>
      </w:r>
    </w:p>
    <w:p>
      <w:pPr>
        <w:spacing w:after="0" w:line="24" w:lineRule="exact"/>
        <w:rPr>
          <w:sz w:val="24"/>
          <w:szCs w:val="24"/>
          <w:color w:val="auto"/>
        </w:rPr>
      </w:pPr>
    </w:p>
    <w:p>
      <w:pPr>
        <w:jc w:val="both"/>
        <w:ind w:right="539"/>
        <w:spacing w:after="0" w:line="252"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42" w:lineRule="exact"/>
        <w:rPr>
          <w:sz w:val="24"/>
          <w:szCs w:val="24"/>
          <w:color w:val="auto"/>
        </w:rPr>
      </w:pPr>
    </w:p>
    <w:p>
      <w:pPr>
        <w:jc w:val="both"/>
        <w:ind w:right="539"/>
        <w:spacing w:after="0" w:line="259" w:lineRule="auto"/>
        <w:rPr>
          <w:sz w:val="20"/>
          <w:szCs w:val="20"/>
          <w:color w:val="auto"/>
        </w:rPr>
      </w:pPr>
      <w:r>
        <w:rPr>
          <w:rFonts w:ascii="Arial" w:cs="Arial" w:eastAsia="Arial" w:hAnsi="Arial"/>
          <w:sz w:val="15"/>
          <w:szCs w:val="15"/>
          <w:color w:val="auto"/>
        </w:rPr>
        <w:t xml:space="preserve">The underwriters are offering the notes as set forth under </w:t>
      </w:r>
      <w:r>
        <w:rPr>
          <w:rFonts w:ascii="Arial" w:cs="Arial" w:eastAsia="Arial" w:hAnsi="Arial"/>
          <w:sz w:val="15"/>
          <w:szCs w:val="15"/>
          <w:i w:val="1"/>
          <w:iCs w:val="1"/>
          <w:color w:val="auto"/>
        </w:rPr>
        <w:t>“</w:t>
      </w:r>
      <w:r>
        <w:rPr>
          <w:rFonts w:ascii="Arial" w:cs="Arial" w:eastAsia="Arial" w:hAnsi="Arial"/>
          <w:sz w:val="15"/>
          <w:szCs w:val="15"/>
          <w:color w:val="auto"/>
        </w:rPr>
        <w:t>Underwriting.</w:t>
      </w:r>
      <w:r>
        <w:rPr>
          <w:rFonts w:ascii="Arial" w:cs="Arial" w:eastAsia="Arial" w:hAnsi="Arial"/>
          <w:sz w:val="15"/>
          <w:szCs w:val="15"/>
          <w:i w:val="1"/>
          <w:iCs w:val="1"/>
          <w:color w:val="auto"/>
        </w:rPr>
        <w:t>”</w:t>
      </w:r>
      <w:r>
        <w:rPr>
          <w:rFonts w:ascii="Arial" w:cs="Arial" w:eastAsia="Arial" w:hAnsi="Arial"/>
          <w:sz w:val="15"/>
          <w:szCs w:val="15"/>
          <w:color w:val="auto"/>
        </w:rPr>
        <w:t xml:space="preserve"> We expect to deliver the notes in book-entry form only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4718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0" cy="6985"/>
                    </a:xfrm>
                    <a:prstGeom prst="rect">
                      <a:avLst/>
                    </a:prstGeom>
                    <a:noFill/>
                  </pic:spPr>
                </pic:pic>
              </a:graphicData>
            </a:graphic>
          </wp:anchor>
        </w:drawing>
      </w:r>
    </w:p>
    <w:p>
      <w:pPr>
        <w:spacing w:after="0" w:line="206" w:lineRule="exact"/>
        <w:rPr>
          <w:sz w:val="24"/>
          <w:szCs w:val="24"/>
          <w:color w:val="auto"/>
        </w:rPr>
      </w:pPr>
    </w:p>
    <w:p>
      <w:pPr>
        <w:jc w:val="center"/>
        <w:ind w:right="539"/>
        <w:spacing w:after="0"/>
        <w:rPr>
          <w:sz w:val="20"/>
          <w:szCs w:val="20"/>
          <w:color w:val="auto"/>
        </w:rPr>
      </w:pPr>
      <w:r>
        <w:rPr>
          <w:rFonts w:ascii="Arial" w:cs="Arial" w:eastAsia="Arial" w:hAnsi="Arial"/>
          <w:sz w:val="15"/>
          <w:szCs w:val="15"/>
          <w:i w:val="1"/>
          <w:iCs w:val="1"/>
          <w:color w:val="auto"/>
        </w:rPr>
        <w:t>Lead Bookrunners</w:t>
      </w:r>
    </w:p>
    <w:p>
      <w:pPr>
        <w:spacing w:after="0" w:line="19" w:lineRule="exact"/>
        <w:rPr>
          <w:sz w:val="24"/>
          <w:szCs w:val="24"/>
          <w:color w:val="auto"/>
        </w:rPr>
      </w:pPr>
    </w:p>
    <w:p>
      <w:pPr>
        <w:spacing w:after="0"/>
        <w:tabs>
          <w:tab w:leader="none" w:pos="3600" w:val="left"/>
          <w:tab w:leader="none" w:pos="5580" w:val="left"/>
        </w:tabs>
        <w:rPr>
          <w:sz w:val="20"/>
          <w:szCs w:val="20"/>
          <w:color w:val="auto"/>
        </w:rPr>
      </w:pPr>
      <w:r>
        <w:rPr>
          <w:rFonts w:ascii="Arial" w:cs="Arial" w:eastAsia="Arial" w:hAnsi="Arial"/>
          <w:sz w:val="26"/>
          <w:szCs w:val="26"/>
          <w:color w:val="auto"/>
        </w:rPr>
        <w:t>​Barclays</w:t>
      </w:r>
      <w:r>
        <w:rPr>
          <w:sz w:val="20"/>
          <w:szCs w:val="20"/>
          <w:color w:val="auto"/>
        </w:rPr>
        <w:tab/>
      </w:r>
      <w:r>
        <w:rPr>
          <w:rFonts w:ascii="Arial" w:cs="Arial" w:eastAsia="Arial" w:hAnsi="Arial"/>
          <w:sz w:val="26"/>
          <w:szCs w:val="26"/>
          <w:color w:val="auto"/>
        </w:rPr>
        <w:t>​​</w:t>
      </w:r>
      <w:r>
        <w:rPr>
          <w:sz w:val="20"/>
          <w:szCs w:val="20"/>
          <w:color w:val="auto"/>
        </w:rPr>
        <w:tab/>
      </w:r>
      <w:r>
        <w:rPr>
          <w:rFonts w:ascii="Arial" w:cs="Arial" w:eastAsia="Arial" w:hAnsi="Arial"/>
          <w:sz w:val="26"/>
          <w:szCs w:val="26"/>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96520</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5" w:lineRule="exact"/>
        <w:rPr>
          <w:sz w:val="24"/>
          <w:szCs w:val="24"/>
          <w:color w:val="auto"/>
        </w:rPr>
      </w:pPr>
    </w:p>
    <w:p>
      <w:pPr>
        <w:sectPr>
          <w:pgSz w:w="11900" w:h="16838" w:orient="portrait"/>
          <w:cols w:equalWidth="0" w:num="2">
            <w:col w:w="860" w:space="200"/>
            <w:col w:w="7959"/>
          </w:cols>
          <w:pgMar w:left="1440" w:top="194" w:right="1440" w:bottom="1440"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ind w:left="3160"/>
        <w:spacing w:after="0"/>
        <w:rPr>
          <w:sz w:val="20"/>
          <w:szCs w:val="20"/>
          <w:color w:val="auto"/>
        </w:rPr>
      </w:pPr>
      <w:r>
        <w:rPr>
          <w:rFonts w:ascii="Arial" w:cs="Arial" w:eastAsia="Arial" w:hAnsi="Arial"/>
          <w:sz w:val="14"/>
          <w:szCs w:val="14"/>
          <w:color w:val="auto"/>
        </w:rPr>
        <w:t>Prospectus Supplement dated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209550</wp:posOffset>
            </wp:positionV>
            <wp:extent cx="55587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8790" cy="39370"/>
                    </a:xfrm>
                    <a:prstGeom prst="rect">
                      <a:avLst/>
                    </a:prstGeom>
                    <a:noFill/>
                  </pic:spPr>
                </pic:pic>
              </a:graphicData>
            </a:graphic>
          </wp:anchor>
        </w:drawing>
      </w:r>
    </w:p>
    <w:p>
      <w:pPr>
        <w:sectPr>
          <w:pgSz w:w="11900" w:h="16838" w:orient="portrait"/>
          <w:cols w:equalWidth="0" w:num="1">
            <w:col w:w="9019"/>
          </w:cols>
          <w:pgMar w:left="1440" w:top="194" w:right="1440" w:bottom="1440" w:gutter="0" w:footer="0" w:header="0"/>
          <w:type w:val="continuous"/>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04"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 Supplement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Capitalization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Notes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Certain U.S. Federal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Certain ERISA Considerations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right="1580"/>
        <w:spacing w:after="0" w:line="299" w:lineRule="auto"/>
        <w:rPr>
          <w:sz w:val="20"/>
          <w:szCs w:val="20"/>
          <w:color w:val="auto"/>
        </w:rPr>
      </w:pPr>
      <w:r>
        <w:rPr>
          <w:rFonts w:ascii="Times New Roman" w:cs="Times New Roman" w:eastAsia="Times New Roman" w:hAnsi="Times New Roman"/>
          <w:sz w:val="15"/>
          <w:szCs w:val="15"/>
          <w:u w:val="single" w:color="auto"/>
          <w:color w:val="0000EE"/>
        </w:rPr>
        <w:t>Cautionary Statement Concerning Forward-Looking Statements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-17780</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Selling Security Holders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UAL Capital Stock</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Debt Securities and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Depositary Shares</w:t>
      </w:r>
    </w:p>
    <w:p>
      <w:pPr>
        <w:spacing w:after="0" w:line="48" w:lineRule="exact"/>
        <w:rPr>
          <w:sz w:val="20"/>
          <w:szCs w:val="20"/>
          <w:color w:val="auto"/>
        </w:rPr>
      </w:pPr>
    </w:p>
    <w:p>
      <w:pPr>
        <w:ind w:left="1140" w:right="1400"/>
        <w:spacing w:after="0" w:line="346" w:lineRule="auto"/>
        <w:rPr>
          <w:sz w:val="20"/>
          <w:szCs w:val="20"/>
          <w:color w:val="auto"/>
        </w:rPr>
      </w:pPr>
      <w:r>
        <w:rPr>
          <w:rFonts w:ascii="Times New Roman" w:cs="Times New Roman" w:eastAsia="Times New Roman" w:hAnsi="Times New Roman"/>
          <w:sz w:val="15"/>
          <w:szCs w:val="15"/>
          <w:u w:val="single" w:color="auto"/>
          <w:color w:val="0000EE"/>
        </w:rPr>
        <w:t>Description of Stock Purchase Contracts and Stock Purchase Units Description of Subscription Rights 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-193675</wp:posOffset>
            </wp:positionV>
            <wp:extent cx="4262120" cy="14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86360</wp:posOffset>
            </wp:positionV>
            <wp:extent cx="4262120"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137795</wp:posOffset>
            </wp:positionV>
            <wp:extent cx="10096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ab/>
        <w:t xml:space="preserve">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S-ii</w:t>
      </w:r>
      <w:r>
        <w:rPr>
          <w:rFonts w:ascii="Times New Roman" w:cs="Times New Roman" w:eastAsia="Times New Roman" w:hAnsi="Times New Roman"/>
          <w:sz w:val="15"/>
          <w:szCs w:val="15"/>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S-1</w:t>
      </w:r>
      <w:r>
        <w:rPr>
          <w:rFonts w:ascii="Times New Roman" w:cs="Times New Roman" w:eastAsia="Times New Roman" w:hAnsi="Times New Roman"/>
          <w:sz w:val="15"/>
          <w:szCs w:val="15"/>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S-5</w:t>
      </w:r>
      <w:r>
        <w:rPr>
          <w:rFonts w:ascii="Times New Roman" w:cs="Times New Roman" w:eastAsia="Times New Roman" w:hAnsi="Times New Roman"/>
          <w:sz w:val="15"/>
          <w:szCs w:val="15"/>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S-10</w:t>
      </w:r>
      <w:r>
        <w:rPr>
          <w:rFonts w:ascii="Times New Roman" w:cs="Times New Roman" w:eastAsia="Times New Roman" w:hAnsi="Times New Roman"/>
          <w:sz w:val="15"/>
          <w:szCs w:val="15"/>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S-12</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S-14</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S-30</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S-34</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S-36</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S-41</w:t>
      </w:r>
      <w:r>
        <w:rPr>
          <w:rFonts w:ascii="Times New Roman" w:cs="Times New Roman" w:eastAsia="Times New Roman" w:hAnsi="Times New Roman"/>
          <w:sz w:val="15"/>
          <w:szCs w:val="15"/>
          <w:color w:val="auto"/>
        </w:rPr>
        <w:t>​</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5"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ectPr>
          <w:pgSz w:w="11900" w:h="16838" w:orient="portrait"/>
          <w:cols w:equalWidth="0" w:num="2">
            <w:col w:w="6660" w:space="720"/>
            <w:col w:w="163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28"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specific terms of this offering of notes. The second part, the base prospectus, gives more general information, some of which may not apply to this offering. Generally, when we refer only to the “prospectus,” we are referring to both parts combined, and when we refer to the “accompanying prospectus,” we are referring to the base prospectus.</w:t>
      </w:r>
    </w:p>
    <w:p>
      <w:pPr>
        <w:spacing w:after="0" w:line="99" w:lineRule="exact"/>
        <w:rPr>
          <w:sz w:val="20"/>
          <w:szCs w:val="20"/>
          <w:color w:val="auto"/>
        </w:rPr>
      </w:pPr>
    </w:p>
    <w:p>
      <w:pPr>
        <w:ind w:left="1140" w:right="1459" w:firstLine="294"/>
        <w:spacing w:after="0" w:line="271" w:lineRule="auto"/>
        <w:rPr>
          <w:sz w:val="20"/>
          <w:szCs w:val="20"/>
          <w:color w:val="auto"/>
        </w:rPr>
      </w:pPr>
      <w:r>
        <w:rPr>
          <w:rFonts w:ascii="Times New Roman" w:cs="Times New Roman" w:eastAsia="Times New Roman" w:hAnsi="Times New Roman"/>
          <w:sz w:val="15"/>
          <w:szCs w:val="15"/>
          <w:color w:val="auto"/>
        </w:rPr>
        <w:t>If the description of this offering varies between this prospectus supplement and the accompanying prospectus, you should rely on the information in this prospectus supplement.</w:t>
      </w:r>
    </w:p>
    <w:p>
      <w:pPr>
        <w:spacing w:after="0" w:line="74"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In this prospectus supplement, unless otherwise indicated or the context otherwise requires, “United Airlines Holdings” and “UAL” refer to United Airlines Holdings, Inc., formerly known as United Continental Holdings, Inc., as a separate corporation, the “Company,” “we,” “us” and “our” refer to United Airlines Holdings and its consolidated subsidiaries, including United Airlines, Inc., and “notes” refers to the notes offered hereby.</w:t>
      </w:r>
    </w:p>
    <w:p>
      <w:pPr>
        <w:spacing w:after="0" w:line="99" w:lineRule="exact"/>
        <w:rPr>
          <w:sz w:val="20"/>
          <w:szCs w:val="20"/>
          <w:color w:val="auto"/>
        </w:rPr>
      </w:pPr>
    </w:p>
    <w:p>
      <w:pPr>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In the first quarter of 2025, the Company changed its rounding presentation to the nearest whole number in millions of reported amounts, except per share data or as otherwise designated. As such, certain columns and rows within the financial statements incorporated herein by reference and tables presented herein may not sum due to rounding. Per unit amounts have been calculated from the underlying whole-dollar amounts. This change is not material and does not impact the comparability of our condensed consolidated financial statements.</w:t>
      </w:r>
    </w:p>
    <w:p>
      <w:pPr>
        <w:spacing w:after="0" w:line="101" w:lineRule="exact"/>
        <w:rPr>
          <w:sz w:val="20"/>
          <w:szCs w:val="20"/>
          <w:color w:val="auto"/>
        </w:rPr>
      </w:pPr>
    </w:p>
    <w:p>
      <w:pPr>
        <w:ind w:left="1140" w:right="1199" w:firstLine="294"/>
        <w:spacing w:after="0" w:line="269"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supplement and accompanying prospectus and on the information incorporated by reference 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such offer or sale is not permitted. You should assume that the information appearing in this prospectus supplement, the accompanying prospectus and the documents incorporated herein by reference is accurate only as of those documents’ respective dates.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53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26" w:lineRule="exact"/>
        <w:rPr>
          <w:sz w:val="20"/>
          <w:szCs w:val="20"/>
          <w:color w:val="auto"/>
        </w:rPr>
      </w:pPr>
    </w:p>
    <w:p>
      <w:pPr>
        <w:ind w:left="1160" w:right="1159" w:firstLine="294"/>
        <w:spacing w:after="0" w:line="251" w:lineRule="auto"/>
        <w:rPr>
          <w:sz w:val="20"/>
          <w:szCs w:val="20"/>
          <w:color w:val="auto"/>
        </w:rPr>
      </w:pPr>
      <w:r>
        <w:rPr>
          <w:rFonts w:ascii="Times New Roman" w:cs="Times New Roman" w:eastAsia="Times New Roman" w:hAnsi="Times New Roman"/>
          <w:sz w:val="15"/>
          <w:szCs w:val="15"/>
          <w:i w:val="1"/>
          <w:iCs w:val="1"/>
          <w:color w:val="auto"/>
        </w:rPr>
        <w:t>The following summary includes basic information about us and this offering. It may not contain all of the information that is important to you. For a more complete understanding of the Company and this offering, we encourage you to read this entire prospectus supplement and the accompanying prospectus, as well as the materials filed with the Securities and Exchange Commission (the “SEC”) that are considered to be part of this prospectus supplement and the accompanying prospectus. See “Incorporation of Certain Documents by Reference” in this prospectus supplement and the accompanying prospectus.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UNITED AIRLINES HOLDINGS, INC.</w:t>
      </w:r>
    </w:p>
    <w:p>
      <w:pPr>
        <w:spacing w:after="0" w:line="128" w:lineRule="exact"/>
        <w:rPr>
          <w:sz w:val="20"/>
          <w:szCs w:val="20"/>
          <w:color w:val="auto"/>
        </w:rPr>
      </w:pPr>
    </w:p>
    <w:p>
      <w:pPr>
        <w:jc w:val="both"/>
        <w:ind w:left="1160" w:right="1439" w:firstLine="294"/>
        <w:spacing w:after="0" w:line="254" w:lineRule="auto"/>
        <w:rPr>
          <w:sz w:val="20"/>
          <w:szCs w:val="20"/>
          <w:color w:val="auto"/>
        </w:rPr>
      </w:pPr>
      <w:r>
        <w:rPr>
          <w:rFonts w:ascii="Times New Roman" w:cs="Times New Roman" w:eastAsia="Times New Roman" w:hAnsi="Times New Roman"/>
          <w:sz w:val="15"/>
          <w:szCs w:val="15"/>
          <w:color w:val="auto"/>
        </w:rPr>
        <w:t>United Airlines Holdings, Inc., formerly known as United Continental Holdings, Inc. (“UAL”), is a holding company, and its principal subsidiary is United Airlines, Inc. (“United”). United is a major U.S. commercial air carrier. The principal executive offices of UAL and United are located at 233 S. Wacker Drive, Chicago, Illinois 60606, telephone (872) 825-4000.</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THE OFFERING</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Issuer</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United Airlines Holdings, Inc.</w:t>
            </w:r>
          </w:p>
        </w:tc>
        <w:tc>
          <w:tcPr>
            <w:tcW w:w="820" w:type="dxa"/>
            <w:vAlign w:val="bottom"/>
          </w:tcPr>
          <w:p>
            <w:pPr>
              <w:spacing w:after="0"/>
              <w:rPr>
                <w:sz w:val="23"/>
                <w:szCs w:val="23"/>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Notes</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$1,000,000,000 aggregate principal amount of                      %</w:t>
            </w:r>
          </w:p>
        </w:tc>
        <w:tc>
          <w:tcPr>
            <w:tcW w:w="820" w:type="dxa"/>
            <w:vAlign w:val="bottom"/>
          </w:tcPr>
          <w:p>
            <w:pPr>
              <w:spacing w:after="0"/>
              <w:rPr>
                <w:sz w:val="21"/>
                <w:szCs w:val="21"/>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Senior Notes due 2029.</w:t>
            </w:r>
          </w:p>
        </w:tc>
        <w:tc>
          <w:tcPr>
            <w:tcW w:w="820" w:type="dxa"/>
            <w:vAlign w:val="bottom"/>
          </w:tcPr>
          <w:p>
            <w:pPr>
              <w:spacing w:after="0"/>
              <w:rPr>
                <w:sz w:val="16"/>
                <w:szCs w:val="16"/>
                <w:color w:val="auto"/>
              </w:rPr>
            </w:pPr>
          </w:p>
        </w:tc>
      </w:tr>
      <w:tr>
        <w:trPr>
          <w:trHeight w:val="265"/>
        </w:trPr>
        <w:tc>
          <w:tcPr>
            <w:tcW w:w="860" w:type="dxa"/>
            <w:vAlign w:val="bottom"/>
          </w:tcPr>
          <w:p>
            <w:pPr>
              <w:spacing w:after="0"/>
              <w:rPr>
                <w:sz w:val="23"/>
                <w:szCs w:val="23"/>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Maturity</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March 1, 2029.</w:t>
            </w:r>
          </w:p>
        </w:tc>
        <w:tc>
          <w:tcPr>
            <w:tcW w:w="820" w:type="dxa"/>
            <w:vAlign w:val="bottom"/>
          </w:tcPr>
          <w:p>
            <w:pPr>
              <w:spacing w:after="0"/>
              <w:rPr>
                <w:sz w:val="23"/>
                <w:szCs w:val="23"/>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will bear interest at the rate of                      % per year on</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principal amount. Interest is payable semiannually in arrears on</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March 1 and September 1 of each year, beginning September 1,</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2026. Interest will be calculated using a 360-day year composed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twelve 30-day months. Interest will accrue from the date of original</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issuance of the notes.</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The Note Guarantee</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will be fully and unconditionally guaranteed by United</w:t>
            </w:r>
          </w:p>
        </w:tc>
        <w:tc>
          <w:tcPr>
            <w:tcW w:w="820" w:type="dxa"/>
            <w:vAlign w:val="bottom"/>
          </w:tcPr>
          <w:p>
            <w:pPr>
              <w:spacing w:after="0"/>
              <w:rPr>
                <w:sz w:val="21"/>
                <w:szCs w:val="21"/>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“Guarantor”).</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Ranking</w:t>
            </w: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The notes represent our senior unsecured obligations, and the note</w:t>
            </w:r>
          </w:p>
        </w:tc>
        <w:tc>
          <w:tcPr>
            <w:tcW w:w="820" w:type="dxa"/>
            <w:vAlign w:val="bottom"/>
          </w:tcPr>
          <w:p>
            <w:pPr>
              <w:spacing w:after="0"/>
              <w:rPr>
                <w:sz w:val="21"/>
                <w:szCs w:val="21"/>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guarantee represents the senior unsecured obligation of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 The notes and note guarantee rank equally in right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payment with all of our and the Guarantor’s existing and future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unsecured and unsubordinated debt. However, the notes and the note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guarantee are effectively subordinated to all of our and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Guarantor’s existing and future secured debt to the extent of the</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collateral securing such debt and structurally subordinated to all</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existing and future liabilities of UAL’s subsidiaries other than the</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Guarantor.</w:t>
            </w:r>
          </w:p>
        </w:tc>
        <w:tc>
          <w:tcPr>
            <w:tcW w:w="820" w:type="dxa"/>
            <w:vAlign w:val="bottom"/>
          </w:tcPr>
          <w:p>
            <w:pPr>
              <w:spacing w:after="0"/>
              <w:rPr>
                <w:sz w:val="16"/>
                <w:szCs w:val="16"/>
                <w:color w:val="auto"/>
              </w:rPr>
            </w:pPr>
          </w:p>
        </w:tc>
      </w:tr>
      <w:tr>
        <w:trPr>
          <w:trHeight w:val="273"/>
        </w:trPr>
        <w:tc>
          <w:tcPr>
            <w:tcW w:w="8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As of September 30, 2025, assuming that as of such date (i) the</w:t>
            </w:r>
          </w:p>
        </w:tc>
        <w:tc>
          <w:tcPr>
            <w:tcW w:w="820" w:type="dxa"/>
            <w:vAlign w:val="bottom"/>
          </w:tcPr>
          <w:p>
            <w:pPr>
              <w:spacing w:after="0"/>
              <w:rPr>
                <w:sz w:val="23"/>
                <w:szCs w:val="23"/>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notes had been issued and (ii) the 5.375% senior notes due 2031</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issued on February 2, 2026 (the “2031 Notes”) had been issued:</w:t>
            </w:r>
          </w:p>
        </w:tc>
        <w:tc>
          <w:tcPr>
            <w:tcW w:w="820" w:type="dxa"/>
            <w:vAlign w:val="bottom"/>
          </w:tcPr>
          <w:p>
            <w:pPr>
              <w:spacing w:after="0"/>
              <w:rPr>
                <w:sz w:val="16"/>
                <w:szCs w:val="16"/>
                <w:color w:val="auto"/>
              </w:rPr>
            </w:pPr>
          </w:p>
        </w:tc>
      </w:tr>
      <w:tr>
        <w:trPr>
          <w:trHeight w:val="284"/>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UAL would have had approximately $5.3 billion of long-term</w:t>
            </w:r>
          </w:p>
        </w:tc>
        <w:tc>
          <w:tcPr>
            <w:tcW w:w="820" w:type="dxa"/>
            <w:vAlign w:val="bottom"/>
          </w:tcPr>
          <w:p>
            <w:pPr>
              <w:spacing w:after="0"/>
              <w:rPr>
                <w:sz w:val="24"/>
                <w:szCs w:val="24"/>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(including current maturities), none of which was secured;</w:t>
            </w:r>
          </w:p>
        </w:tc>
        <w:tc>
          <w:tcPr>
            <w:tcW w:w="820" w:type="dxa"/>
            <w:vAlign w:val="bottom"/>
          </w:tcPr>
          <w:p>
            <w:pPr>
              <w:spacing w:after="0"/>
              <w:rPr>
                <w:sz w:val="16"/>
                <w:szCs w:val="16"/>
                <w:color w:val="auto"/>
              </w:rPr>
            </w:pPr>
          </w:p>
        </w:tc>
      </w:tr>
      <w:tr>
        <w:trPr>
          <w:trHeight w:val="284"/>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UAL and its subsidiaries would have had approximately $27.4</w:t>
            </w:r>
          </w:p>
        </w:tc>
        <w:tc>
          <w:tcPr>
            <w:tcW w:w="82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billion of long-term debt, finance lease obligations (including</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maturities) and other financial liabilities, of which</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approximately $22.2 billion was secured, and in addition, as of</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such date and as of the date hereof, United had available and</w:t>
            </w:r>
          </w:p>
        </w:tc>
        <w:tc>
          <w:tcPr>
            <w:tcW w:w="820" w:type="dxa"/>
            <w:vAlign w:val="bottom"/>
          </w:tcPr>
          <w:p>
            <w:pPr>
              <w:spacing w:after="0"/>
              <w:rPr>
                <w:sz w:val="15"/>
                <w:szCs w:val="15"/>
                <w:color w:val="auto"/>
              </w:rPr>
            </w:pPr>
          </w:p>
        </w:tc>
      </w:tr>
      <w:tr>
        <w:trPr>
          <w:trHeight w:val="177"/>
        </w:trPr>
        <w:tc>
          <w:tcPr>
            <w:tcW w:w="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undrawn $3.0 billion under a secured revolving credit facility;</w:t>
            </w:r>
          </w:p>
        </w:tc>
        <w:tc>
          <w:tcPr>
            <w:tcW w:w="82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and</w:t>
            </w:r>
          </w:p>
        </w:tc>
        <w:tc>
          <w:tcPr>
            <w:tcW w:w="820" w:type="dxa"/>
            <w:vAlign w:val="bottom"/>
          </w:tcPr>
          <w:p>
            <w:pPr>
              <w:spacing w:after="0"/>
              <w:rPr>
                <w:sz w:val="16"/>
                <w:szCs w:val="16"/>
                <w:color w:val="auto"/>
              </w:rPr>
            </w:pPr>
          </w:p>
        </w:tc>
      </w:tr>
      <w:tr>
        <w:trPr>
          <w:trHeight w:val="250"/>
        </w:trPr>
        <w:tc>
          <w:tcPr>
            <w:tcW w:w="86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S-1</w:t>
            </w:r>
          </w:p>
        </w:tc>
        <w:tc>
          <w:tcPr>
            <w:tcW w:w="820" w:type="dxa"/>
            <w:vAlign w:val="bottom"/>
          </w:tcPr>
          <w:p>
            <w:pPr>
              <w:spacing w:after="0"/>
              <w:rPr>
                <w:sz w:val="20"/>
                <w:szCs w:val="20"/>
                <w:color w:val="auto"/>
              </w:rPr>
            </w:pPr>
          </w:p>
        </w:tc>
      </w:tr>
      <w:tr>
        <w:trPr>
          <w:trHeight w:val="333"/>
        </w:trPr>
        <w:tc>
          <w:tcPr>
            <w:tcW w:w="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431"/>
        </w:trPr>
        <w:tc>
          <w:tcPr>
            <w:tcW w:w="88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2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had entered into guarantees for approximately $2.9</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billion aggregate principal amount of tax-exempt special</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facilities revenue bonds and related interest.</w:t>
            </w:r>
          </w:p>
        </w:tc>
        <w:tc>
          <w:tcPr>
            <w:tcW w:w="820" w:type="dxa"/>
            <w:vAlign w:val="bottom"/>
          </w:tcPr>
          <w:p>
            <w:pPr>
              <w:spacing w:after="0"/>
              <w:rPr>
                <w:sz w:val="16"/>
                <w:szCs w:val="16"/>
                <w:color w:val="auto"/>
              </w:rPr>
            </w:pPr>
          </w:p>
        </w:tc>
      </w:tr>
      <w:tr>
        <w:trPr>
          <w:trHeight w:val="265"/>
        </w:trPr>
        <w:tc>
          <w:tcPr>
            <w:tcW w:w="880" w:type="dxa"/>
            <w:vAlign w:val="bottom"/>
            <w:tcBorders>
              <w:right w:val="single" w:sz="8" w:color="auto"/>
            </w:tcBorders>
          </w:tcPr>
          <w:p>
            <w:pPr>
              <w:spacing w:after="0"/>
              <w:rPr>
                <w:sz w:val="23"/>
                <w:szCs w:val="23"/>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Sinking Fund</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None.</w:t>
            </w:r>
          </w:p>
        </w:tc>
        <w:tc>
          <w:tcPr>
            <w:tcW w:w="820" w:type="dxa"/>
            <w:vAlign w:val="bottom"/>
          </w:tcPr>
          <w:p>
            <w:pPr>
              <w:spacing w:after="0"/>
              <w:rPr>
                <w:sz w:val="23"/>
                <w:szCs w:val="23"/>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Optional Redemption</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may redeem for cash all of the notes at any time, prior to</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December 1, 2028 (three months prior to maturity), at our option, in</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whole or in part, by paying a redemption price equal to the greater</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of (1) 100% of the principal amount of the notes being redeemed</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and (2) a make-whole amount, if any, plus, in either case, accrued</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and unpaid interest to the redemption date. On or after December 1,</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2028 (three months prior to maturity), we may redeem the notes, at</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our option, in whole or in part, at par, plus accrued and unpaid</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interest thereon to the redemption date.</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Merger and Sales of Assets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indenture governing the notes will specify certain requirements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if UAL or the Guarantor consolidates with, merges into, or conveys,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transfers or leases all or substantially all of UAL’s or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Guarantor’s properties and assets to another Person. See</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“Description of Notes — Merger and Sales of Assets.”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of Control Triggering</w:t>
            </w:r>
          </w:p>
        </w:tc>
        <w:tc>
          <w:tcPr>
            <w:tcW w:w="360" w:type="dxa"/>
            <w:vAlign w:val="bottom"/>
          </w:tcPr>
          <w:p>
            <w:pPr>
              <w:spacing w:after="0"/>
              <w:rPr>
                <w:sz w:val="21"/>
                <w:szCs w:val="21"/>
                <w:color w:val="auto"/>
              </w:rPr>
            </w:pPr>
          </w:p>
        </w:tc>
        <w:tc>
          <w:tcPr>
            <w:tcW w:w="426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Event</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must offer to repurchase all of the notes at a price of 101%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principal amount thereof plus accrued and unpaid interest to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purchase date in the event of a “Change of Control Triggering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Event,” as defined in the indenture governing the notes. See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“Description of Notes — Certain Covenants — Offer to Repurchase</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Upon a Change of Control Triggering Event.”</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Certain Covenants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indenture governing the notes will include covenants that,</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among other things, limit our ability and the ability of our Material</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Subsidiaries (as defined below) to incur liens securing indebtedness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for borrowed money or capital leases. See “Description of Notes —</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Certain Covenants — Limitation on Liens.”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Form and Settlement; Book-Entry</w:t>
            </w:r>
          </w:p>
        </w:tc>
        <w:tc>
          <w:tcPr>
            <w:tcW w:w="360" w:type="dxa"/>
            <w:vAlign w:val="bottom"/>
          </w:tcPr>
          <w:p>
            <w:pPr>
              <w:spacing w:after="0"/>
              <w:rPr>
                <w:sz w:val="21"/>
                <w:szCs w:val="21"/>
                <w:color w:val="auto"/>
              </w:rPr>
            </w:pPr>
          </w:p>
        </w:tc>
        <w:tc>
          <w:tcPr>
            <w:tcW w:w="426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System</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notes will be issued in fully registered form and will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represented by one or more global notes. The global notes will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deposited with a custodian for and registered in the name of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nominee of The Depository Trust Company (“DTC”). Beneficial</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interests in the global notes will be shown on, and transfers thereof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will be effected only through, book entry records maintained by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DTC and its direct and indirect participants. Your interest in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global note may not be exchanged for certificated notes, except in</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limited circumstances.</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Trading</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do not intend to list the notes on any national securities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exchange. The notes will be new securities for which there is</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currently no public market.</w:t>
            </w:r>
          </w:p>
        </w:tc>
        <w:tc>
          <w:tcPr>
            <w:tcW w:w="820" w:type="dxa"/>
            <w:vAlign w:val="bottom"/>
          </w:tcPr>
          <w:p>
            <w:pPr>
              <w:spacing w:after="0"/>
              <w:rPr>
                <w:sz w:val="16"/>
                <w:szCs w:val="16"/>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Use of Proceeds</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We estimate that the net proceeds from this offering, after deducting</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the underwriting discounts and commissions and estimated offering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expenses payable by us, will be approximately $                . We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intend to use the net proceeds we receive from this offering to pay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fees and expenses relating to this offering and for general corporate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purposes, which may include the repayment or redemption of</w:t>
            </w:r>
          </w:p>
        </w:tc>
        <w:tc>
          <w:tcPr>
            <w:tcW w:w="820" w:type="dxa"/>
            <w:vAlign w:val="bottom"/>
          </w:tcPr>
          <w:p>
            <w:pPr>
              <w:spacing w:after="0"/>
              <w:rPr>
                <w:sz w:val="15"/>
                <w:szCs w:val="15"/>
                <w:color w:val="auto"/>
              </w:rPr>
            </w:pPr>
          </w:p>
        </w:tc>
      </w:tr>
      <w:tr>
        <w:trPr>
          <w:trHeight w:val="191"/>
        </w:trPr>
        <w:tc>
          <w:tcPr>
            <w:tcW w:w="88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existing indebtedness. See “Use of Proceeds.”</w:t>
            </w:r>
          </w:p>
        </w:tc>
        <w:tc>
          <w:tcPr>
            <w:tcW w:w="820" w:type="dxa"/>
            <w:vAlign w:val="bottom"/>
          </w:tcPr>
          <w:p>
            <w:pPr>
              <w:spacing w:after="0"/>
              <w:rPr>
                <w:sz w:val="16"/>
                <w:szCs w:val="16"/>
                <w:color w:val="auto"/>
              </w:rPr>
            </w:pPr>
          </w:p>
        </w:tc>
      </w:tr>
      <w:tr>
        <w:trPr>
          <w:trHeight w:val="265"/>
        </w:trPr>
        <w:tc>
          <w:tcPr>
            <w:tcW w:w="880" w:type="dxa"/>
            <w:vAlign w:val="bottom"/>
            <w:tcBorders>
              <w:right w:val="single" w:sz="8" w:color="auto"/>
            </w:tcBorders>
          </w:tcPr>
          <w:p>
            <w:pPr>
              <w:spacing w:after="0"/>
              <w:rPr>
                <w:sz w:val="23"/>
                <w:szCs w:val="23"/>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Governing Law</w:t>
            </w:r>
          </w:p>
        </w:tc>
        <w:tc>
          <w:tcPr>
            <w:tcW w:w="46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State of New York.</w:t>
            </w:r>
          </w:p>
        </w:tc>
        <w:tc>
          <w:tcPr>
            <w:tcW w:w="820" w:type="dxa"/>
            <w:vAlign w:val="bottom"/>
          </w:tcPr>
          <w:p>
            <w:pPr>
              <w:spacing w:after="0"/>
              <w:rPr>
                <w:sz w:val="23"/>
                <w:szCs w:val="23"/>
                <w:color w:val="auto"/>
              </w:rPr>
            </w:pPr>
          </w:p>
        </w:tc>
      </w:tr>
      <w:tr>
        <w:trPr>
          <w:trHeight w:val="250"/>
        </w:trPr>
        <w:tc>
          <w:tcPr>
            <w:tcW w:w="880" w:type="dxa"/>
            <w:vAlign w:val="bottom"/>
            <w:tcBorders>
              <w:right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8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S-2</w:t>
            </w:r>
          </w:p>
        </w:tc>
        <w:tc>
          <w:tcPr>
            <w:tcW w:w="820" w:type="dxa"/>
            <w:vAlign w:val="bottom"/>
          </w:tcPr>
          <w:p>
            <w:pPr>
              <w:spacing w:after="0"/>
              <w:rPr>
                <w:sz w:val="21"/>
                <w:szCs w:val="21"/>
                <w:color w:val="auto"/>
              </w:rPr>
            </w:pPr>
          </w:p>
        </w:tc>
      </w:tr>
      <w:tr>
        <w:trPr>
          <w:trHeight w:val="322"/>
        </w:trPr>
        <w:tc>
          <w:tcPr>
            <w:tcW w:w="8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728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5960"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Recent Results</w:t>
      </w:r>
    </w:p>
    <w:p>
      <w:pPr>
        <w:spacing w:after="0" w:line="128" w:lineRule="exact"/>
        <w:rPr>
          <w:sz w:val="20"/>
          <w:szCs w:val="20"/>
          <w:color w:val="auto"/>
        </w:rPr>
      </w:pPr>
    </w:p>
    <w:p>
      <w:pPr>
        <w:ind w:left="1160" w:right="1239" w:firstLine="294"/>
        <w:spacing w:after="0" w:line="250" w:lineRule="auto"/>
        <w:rPr>
          <w:sz w:val="20"/>
          <w:szCs w:val="20"/>
          <w:color w:val="auto"/>
        </w:rPr>
      </w:pPr>
      <w:r>
        <w:rPr>
          <w:rFonts w:ascii="Times New Roman" w:cs="Times New Roman" w:eastAsia="Times New Roman" w:hAnsi="Times New Roman"/>
          <w:sz w:val="15"/>
          <w:szCs w:val="15"/>
          <w:color w:val="auto"/>
        </w:rPr>
        <w:t>The following tables summarize certain consolidated financial and operating data with respect to UAL for the fourth quarter and full year of 2025.</w:t>
      </w:r>
      <w:r>
        <w:rPr>
          <w:rFonts w:ascii="Times New Roman" w:cs="Times New Roman" w:eastAsia="Times New Roman" w:hAnsi="Times New Roman"/>
          <w:sz w:val="22"/>
          <w:szCs w:val="22"/>
          <w:color w:val="auto"/>
          <w:vertAlign w:val="superscript"/>
        </w:rPr>
        <w:t>(1)</w:t>
      </w:r>
    </w:p>
    <w:p>
      <w:pPr>
        <w:spacing w:after="0" w:line="5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Three months ended</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Pr>
          <w:p>
            <w:pPr>
              <w:ind w:left="12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December 31, 2025</w:t>
            </w:r>
          </w:p>
        </w:tc>
        <w:tc>
          <w:tcPr>
            <w:tcW w:w="116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December 31, 2025</w:t>
            </w:r>
            <w:r>
              <w:rPr>
                <w:rFonts w:ascii="Times New Roman" w:cs="Times New Roman" w:eastAsia="Times New Roman" w:hAnsi="Times New Roman"/>
                <w:sz w:val="20"/>
                <w:szCs w:val="20"/>
                <w:b w:val="1"/>
                <w:bCs w:val="1"/>
                <w:color w:val="auto"/>
                <w:vertAlign w:val="subscript"/>
              </w:rPr>
              <w:t>​</w:t>
            </w:r>
          </w:p>
        </w:tc>
      </w:t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Pr>
          <w:p>
            <w:pPr>
              <w:ind w:left="12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02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120" w:type="dxa"/>
            <w:vAlign w:val="bottom"/>
            <w:tcBorders>
              <w:top w:val="single" w:sz="8" w:color="auto"/>
            </w:tcBorders>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​$1,044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​$3,353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2"/>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19"/>
                <w:szCs w:val="19"/>
                <w:color w:val="auto"/>
                <w:vertAlign w:val="superscript"/>
              </w:rPr>
              <w:t>(2)</w:t>
            </w:r>
          </w:p>
        </w:tc>
        <w:tc>
          <w:tcPr>
            <w:tcW w:w="140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​2,185</w:t>
            </w: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​8,076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EBITDAR</w:t>
            </w:r>
            <w:r>
              <w:rPr>
                <w:rFonts w:ascii="Times New Roman" w:cs="Times New Roman" w:eastAsia="Times New Roman" w:hAnsi="Times New Roman"/>
                <w:sz w:val="19"/>
                <w:szCs w:val="19"/>
                <w:color w:val="auto"/>
                <w:vertAlign w:val="superscript"/>
              </w:rPr>
              <w:t>(2)</w:t>
            </w:r>
          </w:p>
        </w:tc>
        <w:tc>
          <w:tcPr>
            <w:tcW w:w="14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​2,424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​8,969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94" w:lineRule="exact"/>
        <w:rPr>
          <w:sz w:val="20"/>
          <w:szCs w:val="20"/>
          <w:color w:val="auto"/>
        </w:rPr>
      </w:pPr>
    </w:p>
    <w:p>
      <w:pPr>
        <w:ind w:left="1460" w:right="1159" w:hanging="297"/>
        <w:spacing w:after="0" w:line="253" w:lineRule="auto"/>
        <w:tabs>
          <w:tab w:leader="none" w:pos="1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summary of consolidated financial data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w:t>
      </w:r>
    </w:p>
    <w:p>
      <w:pPr>
        <w:spacing w:after="0" w:line="211" w:lineRule="exact"/>
        <w:rPr>
          <w:rFonts w:ascii="Times New Roman" w:cs="Times New Roman" w:eastAsia="Times New Roman" w:hAnsi="Times New Roman"/>
          <w:sz w:val="15"/>
          <w:szCs w:val="15"/>
          <w:color w:val="auto"/>
        </w:rPr>
      </w:pPr>
    </w:p>
    <w:p>
      <w:pPr>
        <w:ind w:left="1460" w:right="1139" w:hanging="297"/>
        <w:spacing w:after="0" w:line="246" w:lineRule="auto"/>
        <w:tabs>
          <w:tab w:leader="none" w:pos="1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w w:val="92"/>
              </w:rPr>
              <w:t>Three months ended</w:t>
            </w:r>
          </w:p>
        </w:tc>
        <w:tc>
          <w:tcPr>
            <w:tcW w:w="220" w:type="dxa"/>
            <w:vAlign w:val="bottom"/>
          </w:tcPr>
          <w:p>
            <w:pPr>
              <w:spacing w:after="0"/>
              <w:rPr>
                <w:sz w:val="12"/>
                <w:szCs w:val="12"/>
                <w:color w:val="auto"/>
              </w:rPr>
            </w:pPr>
          </w:p>
        </w:tc>
        <w:tc>
          <w:tcPr>
            <w:tcW w:w="720" w:type="dxa"/>
            <w:vAlign w:val="bottom"/>
            <w:gridSpan w:val="5"/>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860" w:type="dxa"/>
            <w:vAlign w:val="bottom"/>
          </w:tcPr>
          <w:p>
            <w:pPr>
              <w:spacing w:after="0"/>
              <w:rPr>
                <w:sz w:val="15"/>
                <w:szCs w:val="15"/>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080" w:type="dxa"/>
            <w:vAlign w:val="bottom"/>
            <w:gridSpan w:val="6"/>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December 31, 2025</w:t>
            </w:r>
          </w:p>
        </w:tc>
        <w:tc>
          <w:tcPr>
            <w:tcW w:w="1520" w:type="dxa"/>
            <w:vAlign w:val="bottom"/>
            <w:gridSpan w:val="9"/>
          </w:tcPr>
          <w:p>
            <w:pPr>
              <w:jc w:val="right"/>
              <w:ind w:right="46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December 31, 2025</w:t>
            </w:r>
            <w:r>
              <w:rPr>
                <w:rFonts w:ascii="Times New Roman" w:cs="Times New Roman" w:eastAsia="Times New Roman" w:hAnsi="Times New Roman"/>
                <w:sz w:val="20"/>
                <w:szCs w:val="20"/>
                <w:b w:val="1"/>
                <w:bCs w:val="1"/>
                <w:color w:val="auto"/>
                <w:vertAlign w:val="subscript"/>
              </w:rPr>
              <w:t>​</w:t>
            </w:r>
          </w:p>
        </w:tc>
        <w:tc>
          <w:tcPr>
            <w:tcW w:w="820" w:type="dxa"/>
            <w:vAlign w:val="bottom"/>
          </w:tcPr>
          <w:p>
            <w:pPr>
              <w:spacing w:after="0"/>
              <w:rPr>
                <w:sz w:val="15"/>
                <w:szCs w:val="15"/>
                <w:color w:val="auto"/>
              </w:rPr>
            </w:pPr>
          </w:p>
        </w:tc>
      </w:tr>
      <w:tr>
        <w:trPr>
          <w:trHeight w:val="201"/>
        </w:trPr>
        <w:tc>
          <w:tcPr>
            <w:tcW w:w="860" w:type="dxa"/>
            <w:vAlign w:val="bottom"/>
          </w:tcPr>
          <w:p>
            <w:pPr>
              <w:spacing w:after="0"/>
              <w:rPr>
                <w:sz w:val="17"/>
                <w:szCs w:val="17"/>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w w:val="91"/>
              </w:rPr>
              <w:t>(unaudited, in millions)</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gridSpan w:val="2"/>
          </w:tcPr>
          <w:p>
            <w:pPr>
              <w:jc w:val="right"/>
              <w:ind w:right="4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 and Adjusted EBITDAR Calculations</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36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​$ 1,044</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auto"/>
              </w:rPr>
              <w:t>​$ 3,353</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Adjusted for:</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2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​2,939</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r>
      <w:tr>
        <w:trPr>
          <w:trHeight w:val="206"/>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 net of capitalized interest and interest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1"/>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6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556</w:t>
            </w:r>
          </w:p>
        </w:tc>
        <w:tc>
          <w:tcPr>
            <w:tcW w:w="140" w:type="dxa"/>
            <w:vAlign w:val="bottom"/>
          </w:tcPr>
          <w:p>
            <w:pPr>
              <w:spacing w:after="0"/>
              <w:rPr>
                <w:sz w:val="16"/>
                <w:szCs w:val="16"/>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expense</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953</w:t>
            </w:r>
          </w:p>
        </w:tc>
        <w:tc>
          <w:tcPr>
            <w:tcW w:w="140" w:type="dxa"/>
            <w:vAlign w:val="bottom"/>
          </w:tcPr>
          <w:p>
            <w:pPr>
              <w:spacing w:after="0"/>
              <w:rPr>
                <w:sz w:val="18"/>
                <w:szCs w:val="18"/>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Special charges (credits)</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259</w:t>
            </w:r>
          </w:p>
        </w:tc>
        <w:tc>
          <w:tcPr>
            <w:tcW w:w="140" w:type="dxa"/>
            <w:vAlign w:val="bottom"/>
          </w:tcPr>
          <w:p>
            <w:pPr>
              <w:spacing w:after="0"/>
              <w:rPr>
                <w:sz w:val="18"/>
                <w:szCs w:val="18"/>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Nonoperating unrealized (gains) losses on investments, net</w:t>
            </w:r>
          </w:p>
        </w:tc>
        <w:tc>
          <w:tcPr>
            <w:tcW w:w="1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8"/>
                <w:szCs w:val="18"/>
                <w:color w:val="auto"/>
              </w:rPr>
            </w:pPr>
          </w:p>
        </w:tc>
      </w:tr>
      <w:tr>
        <w:trPr>
          <w:trHeight w:val="243"/>
        </w:trPr>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Nonoperating debt extinguishment and modification fees</w:t>
            </w:r>
          </w:p>
        </w:tc>
        <w:tc>
          <w:tcPr>
            <w:tcW w:w="120" w:type="dxa"/>
            <w:vAlign w:val="bottom"/>
            <w:shd w:val="clear" w:color="auto" w:fill="CCEEFF"/>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tcPr>
          <w:p>
            <w:pPr>
              <w:spacing w:after="0"/>
              <w:rPr>
                <w:sz w:val="21"/>
                <w:szCs w:val="21"/>
                <w:color w:val="auto"/>
              </w:rPr>
            </w:pPr>
          </w:p>
        </w:tc>
        <w:tc>
          <w:tcPr>
            <w:tcW w:w="58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21"/>
                <w:szCs w:val="21"/>
                <w:color w:val="auto"/>
              </w:rPr>
            </w:pPr>
          </w:p>
        </w:tc>
      </w:tr>
      <w:tr>
        <w:trPr>
          <w:trHeight w:val="263"/>
        </w:trPr>
        <w:tc>
          <w:tcPr>
            <w:tcW w:w="8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88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c>
          <w:tcPr>
            <w:tcW w:w="20" w:type="dxa"/>
            <w:vAlign w:val="bottom"/>
            <w:tcBorders>
              <w:top w:val="single" w:sz="8" w:color="CCEEFF"/>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Pr>
          <w:p>
            <w:pPr>
              <w:spacing w:after="0"/>
              <w:rPr>
                <w:sz w:val="22"/>
                <w:szCs w:val="22"/>
                <w:color w:val="auto"/>
              </w:rPr>
            </w:pPr>
          </w:p>
        </w:tc>
      </w:tr>
      <w:tr>
        <w:trPr>
          <w:trHeight w:val="249"/>
        </w:trPr>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8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S-3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22"/>
        </w:trPr>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w w:val="94"/>
              </w:rPr>
              <w:t>December 31, 2025</w:t>
            </w:r>
          </w:p>
        </w:tc>
        <w:tc>
          <w:tcPr>
            <w:tcW w:w="40" w:type="dxa"/>
            <w:vAlign w:val="bottom"/>
          </w:tcPr>
          <w:p>
            <w:pPr>
              <w:spacing w:after="0"/>
              <w:rPr>
                <w:sz w:val="15"/>
                <w:szCs w:val="15"/>
                <w:color w:val="auto"/>
              </w:rPr>
            </w:pPr>
          </w:p>
        </w:tc>
        <w:tc>
          <w:tcPr>
            <w:tcW w:w="1020" w:type="dxa"/>
            <w:vAlign w:val="bottom"/>
            <w:gridSpan w:val="7"/>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December 31, 2025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gridSpan w:val="9"/>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6"/>
              </w:rPr>
              <w:t>(unaudited, in millions)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w:t>
            </w:r>
          </w:p>
        </w:tc>
        <w:tc>
          <w:tcPr>
            <w:tcW w:w="2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8,076</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Fixed portion of operating lease expense</w:t>
            </w:r>
          </w:p>
        </w:tc>
        <w:tc>
          <w:tcPr>
            <w:tcW w:w="40" w:type="dxa"/>
            <w:vAlign w:val="bottom"/>
          </w:tcPr>
          <w:p>
            <w:pPr>
              <w:spacing w:after="0"/>
              <w:rPr>
                <w:sz w:val="19"/>
                <w:szCs w:val="19"/>
                <w:color w:val="auto"/>
              </w:rPr>
            </w:pPr>
          </w:p>
        </w:tc>
        <w:tc>
          <w:tcPr>
            <w:tcW w:w="400" w:type="dxa"/>
            <w:vAlign w:val="bottom"/>
            <w:gridSpan w:val="2"/>
          </w:tcPr>
          <w:p>
            <w:pPr>
              <w:ind w:left="2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240" w:type="dxa"/>
            <w:vAlign w:val="bottom"/>
          </w:tcPr>
          <w:p>
            <w:pPr>
              <w:spacing w:after="0"/>
              <w:rPr>
                <w:sz w:val="19"/>
                <w:szCs w:val="19"/>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20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EBITDAR</w:t>
            </w: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w:t>
            </w:r>
          </w:p>
        </w:tc>
        <w:tc>
          <w:tcPr>
            <w:tcW w:w="2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8,969</w:t>
            </w:r>
          </w:p>
        </w:tc>
        <w:tc>
          <w:tcPr>
            <w:tcW w:w="2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98"/>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Operating statistics:</w:t>
            </w:r>
          </w:p>
        </w:tc>
        <w:tc>
          <w:tcPr>
            <w:tcW w:w="4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Passengers (thousands)</w:t>
            </w: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​45,679</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​181,053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0"/>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Revenue passenger miles (millions)</w:t>
            </w:r>
          </w:p>
        </w:tc>
        <w:tc>
          <w:tcPr>
            <w:tcW w:w="40" w:type="dxa"/>
            <w:vAlign w:val="bottom"/>
          </w:tcPr>
          <w:p>
            <w:pPr>
              <w:spacing w:after="0"/>
              <w:rPr>
                <w:sz w:val="18"/>
                <w:szCs w:val="18"/>
                <w:color w:val="auto"/>
              </w:rPr>
            </w:pPr>
          </w:p>
        </w:tc>
        <w:tc>
          <w:tcPr>
            <w:tcW w:w="100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 ​68,246</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 ​271,619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 seat miles (millions)</w:t>
            </w:r>
          </w:p>
        </w:tc>
        <w:tc>
          <w:tcPr>
            <w:tcW w:w="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​83,365</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​330,284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Passenger load factor</w:t>
            </w:r>
          </w:p>
        </w:tc>
        <w:tc>
          <w:tcPr>
            <w:tcW w:w="4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81.9%</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82.2%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Passenger revenue per available seat mile (cents)</w:t>
            </w:r>
          </w:p>
        </w:tc>
        <w:tc>
          <w:tcPr>
            <w:tcW w:w="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 16.71</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2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per available seat mile (cents)</w:t>
            </w:r>
          </w:p>
        </w:tc>
        <w:tc>
          <w:tcPr>
            <w:tcW w:w="40" w:type="dxa"/>
            <w:vAlign w:val="bottom"/>
          </w:tcPr>
          <w:p>
            <w:pPr>
              <w:spacing w:after="0"/>
              <w:rPr>
                <w:sz w:val="19"/>
                <w:szCs w:val="19"/>
                <w:color w:val="auto"/>
              </w:rPr>
            </w:pPr>
          </w:p>
        </w:tc>
        <w:tc>
          <w:tcPr>
            <w:tcW w:w="100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 ​ 16.81</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20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5"/>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per available seat mile (cents), excluding special charges,</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third-party business expenses and profit sharing</w:t>
            </w: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 12.94</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6"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i w:val="1"/>
          <w:iCs w:val="1"/>
          <w:color w:val="auto"/>
        </w:rPr>
        <w:t>You should carefully consider the risks and uncertainties described below, together with all of the other information included in or incorporated by reference into this prospectus supplement and the accompanying prospectus, including the “Risk Factors” section contained in our most recent Annual Report on Form 10-K, as updated by other reports filed by us with the SEC (which are incorporated by reference herein), before purchasing the notes. If any of these risks actually occurs, our business, financial condition or results of operations could be materially adversely affected. As a result, the market value of the notes could decline, and you could lose part or all of your investment.</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 Factors Relating to the Notes</w:t>
      </w:r>
    </w:p>
    <w:p>
      <w:pPr>
        <w:spacing w:after="0" w:line="179" w:lineRule="exact"/>
        <w:rPr>
          <w:sz w:val="20"/>
          <w:szCs w:val="20"/>
          <w:color w:val="auto"/>
        </w:rPr>
      </w:pPr>
    </w:p>
    <w:p>
      <w:pPr>
        <w:ind w:left="1140" w:right="117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The notes and the note guarantee are unsecured and effectively subordinated to UAL’s and the Guarantor’s secured debt and structurally subordinated to all obligations of UAL’s subsidiaries other than the Guarantor.</w:t>
      </w:r>
    </w:p>
    <w:p>
      <w:pPr>
        <w:spacing w:after="0" w:line="57"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The notes represent UAL’s senior unsecured obligations, and the note guarantee represents the senior unsecured obligation of the Guarantor. The notes and the note guarantee rank equally in right of payment with all of UAL’s and the Guarantor’s existing and future unsecured and unsubordinated debt. However, the notes and the note guarantee are effectively subordinated to all of UAL’s and the Guarantor’s existing and future secured debt to the extent of the collateral securing such debt and structurally subordinated to all existing and future obligations of UAL’s subsidiaries other than the Guarantor. As of September 30, 2025, assuming that as of such date (i) the notes had been issued and (ii) the 2031 Notes had been issued, UAL would have had approximately $5.3 billion of long-term debt (including current maturities), none of which was secured, and UAL and its subsidiaries would have had approximately $27.4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In addition, as of September 30, 2025, the Guarantor had entered into guarantees for approximately $2.9 billion aggregate principal amount of tax-exempt special facilities revenue bonds and related interest.</w:t>
      </w:r>
    </w:p>
    <w:p>
      <w:pPr>
        <w:spacing w:after="0" w:line="98" w:lineRule="exact"/>
        <w:rPr>
          <w:sz w:val="20"/>
          <w:szCs w:val="20"/>
          <w:color w:val="auto"/>
        </w:rPr>
      </w:pPr>
    </w:p>
    <w:p>
      <w:pPr>
        <w:ind w:left="1140" w:right="1379" w:firstLine="294"/>
        <w:spacing w:after="0" w:line="249" w:lineRule="auto"/>
        <w:rPr>
          <w:sz w:val="20"/>
          <w:szCs w:val="20"/>
          <w:color w:val="auto"/>
        </w:rPr>
      </w:pPr>
      <w:r>
        <w:rPr>
          <w:rFonts w:ascii="Times New Roman" w:cs="Times New Roman" w:eastAsia="Times New Roman" w:hAnsi="Times New Roman"/>
          <w:sz w:val="15"/>
          <w:szCs w:val="15"/>
          <w:color w:val="auto"/>
        </w:rPr>
        <w:t>In the event of any distribution of UAL’s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UAL’s and the Guarantor’s other general creditors, based upon the respective amounts owed to each holder or creditor, in UAL’s and the Guarantor’s remaining assets. In any of the foregoing events, we cannot assure you that there will be sufficient assets to pay amounts due on the notes. As a result, holders of notes may receive less, ratably, than holders of secured indebtedness.</w:t>
      </w:r>
    </w:p>
    <w:p>
      <w:pPr>
        <w:spacing w:after="0" w:line="100"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Holders of the notes will be creditors of only UAL and the Guarantor for purposes of the notes and the note guarantee and not our non-guarantor subsidiaries. The ability of UAL’s and the Guarantor’s creditors, including you, to participate in any distribution of assets of any of UAL’s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UAL’s non-guarantor subsidiaries.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are dependent on our operating subsidiary because of our holding company structure.</w:t>
      </w:r>
    </w:p>
    <w:p>
      <w:pPr>
        <w:spacing w:after="0" w:line="130"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UAL conducts substantially all its business through its operating subsidiary, United. UAL is substantially dependent on the cash flow generated by the operations of United and on dividends and other payments to it from United to meet its liquidity needs, debt service and other obligations, including payment of the notes. Although United has unconditionally guaranteed payment of the notes, it may be unable to pay any amounts due on its notes guarantee or to provide UAL with funds for UAL’s payment obligations on the notes, by dividend, distribution, loan or other payment. No subsidiary of UAL other than United is guaranteeing the notes. In addition, under applicable state law, UAL’s subsidiaries may be limited in the amounts they are permitted to pay as dividends on their capital stock.</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repay the notes at maturity.</w:t>
      </w:r>
    </w:p>
    <w:p>
      <w:pPr>
        <w:spacing w:after="0" w:line="130"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At maturity, the entire outstanding principal amount of the notes, together with accrued and unpaid interest, will become due and payable. We may not have the funds to fulfill these obligations or the ability to refinance these obligations. If the maturity date were to occur at a time when other arrangements prohibited us from repaying the notes, we would try to obtain waivers of such prohibitions from the lenders and holders under those arrangements, or we would attempt to refinance the borrowings that contain the restrictions. In these circumstances, if we could not obtain such waivers or refinance these borrowings, we would be unable to repay the notes.</w:t>
      </w:r>
    </w:p>
    <w:p>
      <w:pPr>
        <w:spacing w:after="0" w:line="1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notes.</w:t>
      </w:r>
    </w:p>
    <w:p>
      <w:pPr>
        <w:spacing w:after="0" w:line="13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Any default under the agreements governing our other indebtedness that is not waived by the required holders of such indebtedness, and the remedies sought by the holders of such indebtedness, could leave us unable to pay principal or interest on the notes and could substantially decrease the market value of the notes. If we are unable to generate sufficient cash flow and are otherwise unable to obtain funds necessary to meet required payments of principal or interest on such indebtedness, or if we otherwise fail to comply with the applicable covenants, including financial and operating covenants, in the agreements governing our other indebtedness, we could be in default under the terms of the agreements governing such indebtedness. In the event of such default, the holders of such indebtedness could elect to declare all the funds borrowed thereunder to be immediately due and payable, together with accrued and unpaid interest, which in turn could trigger cross defaults under the other agreements governing our indebtedness. The indenture governing the notes does not have cross-default or cross-acceleration events of default. We may not have, and may not be able to obtain, sufficient funds to pay any accelerated amounts, and we could be forced into bankruptcy or liquidation. If an event of default or declaration of acceleration were to occur and not be cured, then our business, operating results and financial condition could be materially and adversely affected.</w:t>
      </w:r>
    </w:p>
    <w:p>
      <w:pPr>
        <w:spacing w:after="0" w:line="2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purchase the notes upon a “Change of Control Triggering Event.”</w:t>
      </w:r>
    </w:p>
    <w:p>
      <w:pPr>
        <w:spacing w:after="0" w:line="119"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Upon the occurrence of a “Change of Control Triggering Event,” as defined in the indenture governing the notes (see “Description of Notes — Certain Covenants — Offer to Repurchase Upon a Change of Control Triggering Event”), we would be required to offer to purchase the notes for cash at a price equal to 101% of their aggregate principal amount, plus accrued and unpaid interest, if any. The change of control provision of the notes may not protect you if we undergo a highly leveraged transaction, reorganization, restructuring, acquisition or similar transaction, even though such a transaction may materially adversely affect you, unless the transaction falls within the definition of a “Change of Control.” See “Description of Notes — Certain Covenants — Offer to Repurchase Upon a Change of Control Triggering Event.”</w:t>
      </w:r>
    </w:p>
    <w:p>
      <w:pPr>
        <w:spacing w:after="0" w:line="8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Other debt of ours may contain prohibitions of events that would constitute a Change of Control Triggering Event or would require such debt to be repurchased or repaid upon a Change of Control Triggering Event or similar event. Moreover, the exercise by holders of the notes of the right to require us to repurchase their respective notes could cause a default under our other debt, even if the Change of Control Triggering Event itself does not result in a default under such debt, due to the financial effect of such repurchase on us. Finally, our ability to pay cash to holders of the notes upon a repurchase may be limited by our financial resources at the time of such repurchase. Therefore, we cannot assure you that sufficient funds will be available when necessary to make any required repurchases. Upon the occurrence of a Change of Control Triggering Event, we could seek to refinance the notes or obtain a waiver from you as a holder of the notes. However, we may not be able to obtain a waiver or refinance the notes on commercially reasonable terms, if at all. Our failure to purchase the notes in connection with a Change of Control Triggering Event would result in a default under the indenture. Such a default may, in turn, constitute a default under other of our existing debt, and may constitute a default under future debt as well.</w:t>
      </w:r>
    </w:p>
    <w:p>
      <w:pPr>
        <w:spacing w:after="0" w:line="133" w:lineRule="exact"/>
        <w:rPr>
          <w:sz w:val="20"/>
          <w:szCs w:val="20"/>
          <w:color w:val="auto"/>
        </w:rPr>
      </w:pPr>
    </w:p>
    <w:p>
      <w:pPr>
        <w:ind w:left="1140" w:right="149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could enter into various transactions, such as acquisitions, refinancings, recapitalizations or other highly leveraged transactions, that would not constitute a “Change of Control Triggering Event” under the indenture governing the notes, but that could nevertheless increase the amount of our outstanding debt at such time, or adversely affect our capital structure, or otherwise adversely affect holders of the notes.</w:t>
      </w:r>
    </w:p>
    <w:p>
      <w:pPr>
        <w:spacing w:after="0" w:line="77"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Under the indenture governing the notes, a variety of acquisition, refinancing, recapitalization or other highly leveraged transactions would not be considered a “Change of Control Triggering Event.” The term</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rPr>
          <w:sz w:val="20"/>
          <w:szCs w:val="20"/>
          <w:color w:val="auto"/>
        </w:rPr>
      </w:pPr>
      <w:r>
        <w:rPr>
          <w:rFonts w:ascii="Times New Roman" w:cs="Times New Roman" w:eastAsia="Times New Roman" w:hAnsi="Times New Roman"/>
          <w:sz w:val="15"/>
          <w:szCs w:val="15"/>
          <w:color w:val="auto"/>
        </w:rPr>
        <w:t>“Change of Control Triggering Event” is limited to certain specified transactions and may not include other events that might harm our financial condition. See “Description of Notes — Certain Covenants — Offer to Repurchase Upon a Change of Control Triggering Event.” As a result, we could enter into any of these transactions without being required to make an offer to purchase the notes even though the transaction could increase the total amount of our outstanding debt, adversely affect our capital structure or otherwise materially adversely affect the holders of the notes. Accordingly, our obligation to offer to purchase the notes upon a “Change of Control Triggering Event” would not necessarily afford you protection in the event of a highly leveraged transaction, reorganization, merger or similar transaction involving us.</w:t>
      </w:r>
    </w:p>
    <w:p>
      <w:pPr>
        <w:spacing w:after="0" w:line="151" w:lineRule="exact"/>
        <w:rPr>
          <w:sz w:val="20"/>
          <w:szCs w:val="20"/>
          <w:color w:val="auto"/>
        </w:rPr>
      </w:pPr>
    </w:p>
    <w:p>
      <w:pPr>
        <w:ind w:left="1140" w:right="13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Holders of notes may not be able to determine when a change of control giving rise to their right to have the notes repurchased by us has occurred following a sale of “substantially all” of our assets.</w:t>
      </w:r>
    </w:p>
    <w:p>
      <w:pPr>
        <w:spacing w:after="0" w:line="81"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A “Change of Control Triggering Event,” as defined in the indenture governing the notes, will require us to make an offer to repurchase all outstanding notes. The definition of “Change of Control Triggering Event” in the indenture includes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as a result of a sale, lease, transfer, conveyance or other disposition of less than all of our assets to another individual, group or entity may be uncertain.</w:t>
      </w:r>
    </w:p>
    <w:p>
      <w:pPr>
        <w:spacing w:after="0" w:line="162" w:lineRule="exact"/>
        <w:rPr>
          <w:sz w:val="20"/>
          <w:szCs w:val="20"/>
          <w:color w:val="auto"/>
        </w:rPr>
      </w:pPr>
    </w:p>
    <w:p>
      <w:pPr>
        <w:ind w:left="1140" w:right="15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The Change of Control Triggering Event repurchase provisions may delay or prevent an otherwise beneficial takeover attempt of us.</w:t>
      </w:r>
    </w:p>
    <w:p>
      <w:pPr>
        <w:spacing w:after="0" w:line="81"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The change of control purchase rights, which will allow noteholders to require us to purchase all or a portion of their notes upon the occurrence of a “Change of Control Triggering Event,” as defined in the indenture governing the notes, may in certain circumstances delay or prevent a takeover of us and the removal of incumbent management that might otherwise be beneficial to investors.</w:t>
      </w:r>
    </w:p>
    <w:p>
      <w:pPr>
        <w:spacing w:after="0" w:line="145" w:lineRule="exact"/>
        <w:rPr>
          <w:sz w:val="20"/>
          <w:szCs w:val="20"/>
          <w:color w:val="auto"/>
        </w:rPr>
      </w:pPr>
    </w:p>
    <w:p>
      <w:pPr>
        <w:ind w:left="1140" w:right="11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Federal and state statutes allow courts, under specific circumstances, to void guarantees and require note holders to return payments received from guarantors.</w:t>
      </w:r>
    </w:p>
    <w:p>
      <w:pPr>
        <w:spacing w:after="0" w:line="58" w:lineRule="exact"/>
        <w:rPr>
          <w:sz w:val="20"/>
          <w:szCs w:val="20"/>
          <w:color w:val="auto"/>
        </w:rPr>
      </w:pPr>
    </w:p>
    <w:p>
      <w:pPr>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Under U.S. bankruptcy law and comparable provisions of state fraudulent transfer laws, a subsidiary’s guarantee of debt of its parent company, such as the note guarantee, can be voided, or claims under such a subsidiary guarantee may be subordinated to all other debts of that subsidiary guarantor if, among other things, the subsidiary guarantor, at the time it incurred the indebtedness evidenced by its guarantee,</w:t>
      </w:r>
    </w:p>
    <w:p>
      <w:pPr>
        <w:jc w:val="both"/>
        <w:ind w:left="1140" w:right="1359" w:firstLine="8"/>
        <w:spacing w:after="0" w:line="235" w:lineRule="auto"/>
        <w:tabs>
          <w:tab w:leader="none" w:pos="1327"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intended to hinder, delay or defraud any present or future creditor or (ii) received less than reasonably equivalent value or fair consideration for the issuance of the guarantee and, in the case of clause (ii) only, the subsidiary guarantor:</w:t>
      </w:r>
    </w:p>
    <w:p>
      <w:pPr>
        <w:spacing w:after="0" w:line="7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insolvent or rendered insolvent by reason of issuing the guarantee;</w:t>
      </w:r>
    </w:p>
    <w:p>
      <w:pPr>
        <w:spacing w:after="0" w:line="92" w:lineRule="exact"/>
        <w:rPr>
          <w:rFonts w:ascii="Times New Roman" w:cs="Times New Roman" w:eastAsia="Times New Roman" w:hAnsi="Times New Roman"/>
          <w:sz w:val="15"/>
          <w:szCs w:val="15"/>
          <w:color w:val="auto"/>
        </w:rPr>
      </w:pPr>
    </w:p>
    <w:p>
      <w:pPr>
        <w:ind w:left="1580" w:right="1579" w:hanging="138"/>
        <w:spacing w:after="0" w:line="271" w:lineRule="auto"/>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engaged in a business or transaction for which the subsidiary guarantor’s remaining assets constituted unreasonably small capital; or</w:t>
      </w:r>
    </w:p>
    <w:p>
      <w:pPr>
        <w:spacing w:after="0" w:line="40"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intended to incur, or believed that it would incur, debts beyond its ability to pay those debts as they become due.</w:t>
      </w:r>
    </w:p>
    <w:p>
      <w:pPr>
        <w:spacing w:after="0" w:line="85" w:lineRule="exact"/>
        <w:rPr>
          <w:sz w:val="20"/>
          <w:szCs w:val="20"/>
          <w:color w:val="auto"/>
        </w:rPr>
      </w:pPr>
    </w:p>
    <w:p>
      <w:pPr>
        <w:ind w:left="1140" w:right="1579" w:firstLine="294"/>
        <w:spacing w:after="0" w:line="251" w:lineRule="auto"/>
        <w:rPr>
          <w:sz w:val="20"/>
          <w:szCs w:val="20"/>
          <w:color w:val="auto"/>
        </w:rPr>
      </w:pPr>
      <w:r>
        <w:rPr>
          <w:rFonts w:ascii="Times New Roman" w:cs="Times New Roman" w:eastAsia="Times New Roman" w:hAnsi="Times New Roman"/>
          <w:sz w:val="15"/>
          <w:szCs w:val="15"/>
          <w:color w:val="auto"/>
        </w:rPr>
        <w:t>In addition, any payment by that subsidiary guarantor under such a subsidiary guarantee could be required to be returned to the subsidiary guarantor or to a fund for the benefit of the creditors of the subsidiary guarantor under such circumstances.</w:t>
      </w:r>
    </w:p>
    <w:p>
      <w:pPr>
        <w:spacing w:after="0" w:line="88"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The measures of insolvency for these purposes will vary depending upon the governing law. Generally, a guarantor would be considered insolvent if:</w:t>
      </w:r>
    </w:p>
    <w:p>
      <w:pPr>
        <w:spacing w:after="0" w:line="52" w:lineRule="exact"/>
        <w:rPr>
          <w:sz w:val="20"/>
          <w:szCs w:val="20"/>
          <w:color w:val="auto"/>
        </w:rPr>
      </w:pPr>
    </w:p>
    <w:p>
      <w:pPr>
        <w:ind w:left="1580" w:right="1239" w:hanging="138"/>
        <w:spacing w:after="0" w:line="271"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its debts, including contingent liabilities, was greater than the fair saleable value of all of its assets;</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present fair saleable value of its assets was less than the amount that would be required to pay its probable liability on its existing debts, including contingent liabilities, as they became absolute and mature; or</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 it could not pay its debts as they became due.</w:t>
      </w:r>
    </w:p>
    <w:p>
      <w:pPr>
        <w:spacing w:after="0" w:line="177" w:lineRule="exact"/>
        <w:rPr>
          <w:sz w:val="20"/>
          <w:szCs w:val="20"/>
          <w:color w:val="auto"/>
        </w:rPr>
      </w:pPr>
    </w:p>
    <w:p>
      <w:pPr>
        <w:ind w:left="1140" w:right="13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The terms of the indenture and the notes provide only limited protection against significant corporate events and other actions we may take that could adversely impact your investment in the notes.</w:t>
      </w:r>
    </w:p>
    <w:p>
      <w:pPr>
        <w:spacing w:after="0" w:line="69" w:lineRule="exact"/>
        <w:rPr>
          <w:sz w:val="20"/>
          <w:szCs w:val="20"/>
          <w:color w:val="auto"/>
        </w:rPr>
      </w:pPr>
    </w:p>
    <w:p>
      <w:pPr>
        <w:jc w:val="both"/>
        <w:ind w:left="1140" w:right="1439" w:firstLine="294"/>
        <w:spacing w:after="0" w:line="243" w:lineRule="auto"/>
        <w:rPr>
          <w:sz w:val="20"/>
          <w:szCs w:val="20"/>
          <w:color w:val="auto"/>
        </w:rPr>
      </w:pPr>
      <w:r>
        <w:rPr>
          <w:rFonts w:ascii="Times New Roman" w:cs="Times New Roman" w:eastAsia="Times New Roman" w:hAnsi="Times New Roman"/>
          <w:sz w:val="15"/>
          <w:szCs w:val="15"/>
          <w:color w:val="auto"/>
        </w:rPr>
        <w:t>While the indenture and the notes contain terms intended to provide protection to the holders of the notes upon the occurrence of certain events involving significant corporate transactions, such terms are limited and may not be sufficient to protect your investment in the notes.</w:t>
      </w:r>
    </w:p>
    <w:p>
      <w:pPr>
        <w:spacing w:after="0" w:line="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for the notes does not:</w:t>
      </w:r>
    </w:p>
    <w:p>
      <w:pPr>
        <w:spacing w:after="0" w:line="92" w:lineRule="exact"/>
        <w:rPr>
          <w:sz w:val="20"/>
          <w:szCs w:val="20"/>
          <w:color w:val="auto"/>
        </w:rPr>
      </w:pPr>
    </w:p>
    <w:p>
      <w:pPr>
        <w:ind w:left="1580" w:right="145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us to maintain any financial ratios or specific levels of net worth, revenues, income, cash flow or liquidity;</w:t>
      </w:r>
    </w:p>
    <w:p>
      <w:pPr>
        <w:spacing w:after="0" w:line="52"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our ability to incur indebtedness that is equal in right of payment to the notes, or to engage in sale/​leaseback transactions;</w:t>
      </w:r>
    </w:p>
    <w:p>
      <w:pPr>
        <w:spacing w:after="0" w:line="40"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subsidiaries’ ability to issue securities or otherwise incur indebtedness that would be senior to our equity interests in our subsidiaries and therefore rank effectively senior to the notes;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repurchase or prepay any of our other securities or other indebtedness;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make investments or to repurchase or pay dividends or make other payments in respect of our capital stock or other securities ranking junior to the notes;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 our ability to enter into highly leveraged transactions.</w:t>
      </w:r>
    </w:p>
    <w:p>
      <w:pPr>
        <w:spacing w:after="0" w:line="115" w:lineRule="exact"/>
        <w:rPr>
          <w:sz w:val="20"/>
          <w:szCs w:val="20"/>
          <w:color w:val="auto"/>
        </w:rPr>
      </w:pPr>
    </w:p>
    <w:p>
      <w:pPr>
        <w:jc w:val="both"/>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56" w:lineRule="exact"/>
        <w:rPr>
          <w:sz w:val="20"/>
          <w:szCs w:val="20"/>
          <w:color w:val="auto"/>
        </w:rPr>
      </w:pPr>
    </w:p>
    <w:p>
      <w:pPr>
        <w:ind w:left="1140" w:right="12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There is no public market for the notes, and we cannot assure you that an active trading market will develop for the notes.</w:t>
      </w:r>
    </w:p>
    <w:p>
      <w:pPr>
        <w:spacing w:after="0" w:line="81"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There is no established trading market for the notes. We have no plans to list the notes on a securities exchange. Although certain of the underwriters have advised us that they currently intend to make a market in the notes after the completion of the offering, the underwriters are not obligated to do so, and such market-making activities may be discontinued at any time without notice. We cannot assure you that any market for the notes will develop, or that such a market will provide liquidity for holders of the notes.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credit ratings assigned to the notes may not reflect all risks of an investment in the notes.</w:t>
      </w:r>
    </w:p>
    <w:p>
      <w:pPr>
        <w:spacing w:after="0" w:line="130"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The credit ratings assigned to the notes will reflect the rating agencies’ assessments of our ability to make payments on the notes when due. Consequently, real or anticipated changes in these credit ratings will generally affect the market value of the notes. These credit ratings, however, may not reflect the potential impact of risks related to structure, market or other factors related to the value of the notes.</w:t>
      </w:r>
    </w:p>
    <w:p>
      <w:pPr>
        <w:spacing w:after="0" w:line="145" w:lineRule="exact"/>
        <w:rPr>
          <w:sz w:val="20"/>
          <w:szCs w:val="20"/>
          <w:color w:val="auto"/>
        </w:rPr>
      </w:pPr>
    </w:p>
    <w:p>
      <w:pPr>
        <w:ind w:left="1140" w:right="121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Any downgrade in the corporate family rating or credit ratings for our public debt securities could limit our ability to access the capital markets, increase our borrowing costs and adversely affect the market price of our outstanding debt securities, or otherwise impair our business, financial condition and results of operations. We are subject to a ratings downgrade at any time, including between the pricing of the notes and the issuance date of the notes.</w:t>
      </w:r>
    </w:p>
    <w:p>
      <w:pPr>
        <w:spacing w:after="0" w:line="77"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Credit rating agencies continually review our corporate ratings and ratings for our public debt securities. Credit rating agencies also evaluate the industries in which we and our affiliates operate and may change their credit rating for us based on their overall view of such industries. We are subject to a ratings downgrade at any time, and no assurance can be given that events occurring between now and the issuance of the notes will</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54" w:lineRule="auto"/>
        <w:rPr>
          <w:sz w:val="20"/>
          <w:szCs w:val="20"/>
          <w:color w:val="auto"/>
        </w:rPr>
      </w:pPr>
      <w:r>
        <w:rPr>
          <w:rFonts w:ascii="Times New Roman" w:cs="Times New Roman" w:eastAsia="Times New Roman" w:hAnsi="Times New Roman"/>
          <w:sz w:val="15"/>
          <w:szCs w:val="15"/>
          <w:color w:val="auto"/>
        </w:rPr>
        <w:t>not result in the rating agencies downgrading our credit rating. There can be no assurance that any rating assigned to our currently outstanding public debt securities will remain in effect for any given period of time or that any such ratings will not be lowered, suspended or withdrawn entirely by a rating agency if, in that rating agency’s judgment, circumstances so warrant.</w:t>
      </w:r>
    </w:p>
    <w:p>
      <w:pPr>
        <w:spacing w:after="0" w:line="9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Our ability to access the capital markets is in part driven by our ratings and a downgrade of our credit ratings could, among other things:</w:t>
      </w:r>
    </w:p>
    <w:p>
      <w:pPr>
        <w:spacing w:after="0" w:line="52" w:lineRule="exact"/>
        <w:rPr>
          <w:sz w:val="20"/>
          <w:szCs w:val="20"/>
          <w:color w:val="auto"/>
        </w:rPr>
      </w:pPr>
    </w:p>
    <w:p>
      <w:pPr>
        <w:ind w:left="1580" w:right="1479" w:hanging="138"/>
        <w:spacing w:after="0" w:line="271" w:lineRule="auto"/>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our access to the capital markets or otherwise adversely affect the availability of other new financing on favorable terms, if at all;</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 in more restrictive covenants in agreements governing the terms of any future indebtedness that we may incur;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cost of borrowing;</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the market price of our outstanding debt securities;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28" w:lineRule="exact"/>
        <w:rPr>
          <w:sz w:val="20"/>
          <w:szCs w:val="20"/>
          <w:color w:val="auto"/>
        </w:rPr>
      </w:pPr>
    </w:p>
    <w:p>
      <w:pPr>
        <w:ind w:left="1140" w:right="1219" w:firstLine="294"/>
        <w:spacing w:after="0" w:line="254" w:lineRule="auto"/>
        <w:rPr>
          <w:sz w:val="20"/>
          <w:szCs w:val="20"/>
          <w:color w:val="auto"/>
        </w:rPr>
      </w:pPr>
      <w:r>
        <w:rPr>
          <w:rFonts w:ascii="Times New Roman" w:cs="Times New Roman" w:eastAsia="Times New Roman" w:hAnsi="Times New Roman"/>
          <w:sz w:val="15"/>
          <w:szCs w:val="15"/>
          <w:color w:val="auto"/>
        </w:rPr>
        <w:t>We estimate that the net proceeds from this offering, after deducting the underwriting discounts and commissions and estimated offering expenses payable by us, will be approximately $              . We intend to use the net proceeds we receive from this offering to pay fees and expenses relating to this offering and for general corporate purposes, which may include the repayment or redemption of existing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8" w:lineRule="exact"/>
        <w:rPr>
          <w:sz w:val="20"/>
          <w:szCs w:val="20"/>
          <w:color w:val="auto"/>
        </w:rPr>
      </w:pPr>
    </w:p>
    <w:p>
      <w:pPr>
        <w:jc w:val="both"/>
        <w:ind w:left="1140" w:right="1299" w:firstLine="294"/>
        <w:spacing w:after="0" w:line="252" w:lineRule="auto"/>
        <w:rPr>
          <w:sz w:val="20"/>
          <w:szCs w:val="20"/>
          <w:color w:val="auto"/>
        </w:rPr>
      </w:pPr>
      <w:r>
        <w:rPr>
          <w:rFonts w:ascii="Times New Roman" w:cs="Times New Roman" w:eastAsia="Times New Roman" w:hAnsi="Times New Roman"/>
          <w:sz w:val="15"/>
          <w:szCs w:val="15"/>
          <w:color w:val="auto"/>
        </w:rPr>
        <w:t>The following table sets forth the cash and short-term investments and capitalization of UAL together with its consolidated subsidiaries as of December 31, 2025, (1) on a historical basis and (2) as adjusted to reflect the issuance and sale of the notes in this offering and the issuance and sale of our 2031 Notes, in</w:t>
      </w:r>
    </w:p>
    <w:p>
      <w:pPr>
        <w:spacing w:after="0" w:line="1" w:lineRule="exact"/>
        <w:rPr>
          <w:sz w:val="20"/>
          <w:szCs w:val="20"/>
          <w:color w:val="auto"/>
        </w:rPr>
      </w:pPr>
    </w:p>
    <w:p>
      <w:pPr>
        <w:ind w:left="1140" w:right="1519"/>
        <w:spacing w:after="0" w:line="238" w:lineRule="auto"/>
        <w:rPr>
          <w:sz w:val="20"/>
          <w:szCs w:val="20"/>
          <w:color w:val="auto"/>
        </w:rPr>
      </w:pPr>
      <w:r>
        <w:rPr>
          <w:rFonts w:ascii="Times New Roman" w:cs="Times New Roman" w:eastAsia="Times New Roman" w:hAnsi="Times New Roman"/>
          <w:sz w:val="15"/>
          <w:szCs w:val="15"/>
          <w:color w:val="auto"/>
        </w:rPr>
        <w:t>each case after deducting the underwriting discounts and commissions and estimated offering expenses payable by us.</w:t>
      </w:r>
      <w:r>
        <w:rPr>
          <w:rFonts w:ascii="Times New Roman" w:cs="Times New Roman" w:eastAsia="Times New Roman" w:hAnsi="Times New Roman"/>
          <w:sz w:val="22"/>
          <w:szCs w:val="22"/>
          <w:color w:val="auto"/>
          <w:vertAlign w:val="superscript"/>
        </w:rPr>
        <w:t>(1)</w:t>
      </w:r>
    </w:p>
    <w:p>
      <w:pPr>
        <w:sectPr>
          <w:pgSz w:w="11900" w:h="16838" w:orient="portrait"/>
          <w:cols w:equalWidth="0" w:num="1">
            <w:col w:w="9019"/>
          </w:cols>
          <w:pgMar w:left="1440" w:top="98" w:right="1440" w:bottom="1440" w:gutter="0" w:footer="0" w:header="0"/>
        </w:sectPr>
      </w:pP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8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-1270</wp:posOffset>
            </wp:positionV>
            <wp:extent cx="4262120" cy="133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line="230" w:lineRule="auto"/>
        <w:rPr>
          <w:sz w:val="20"/>
          <w:szCs w:val="20"/>
          <w:color w:val="auto"/>
        </w:rPr>
      </w:pPr>
      <w:r>
        <w:rPr>
          <w:rFonts w:ascii="Times New Roman" w:cs="Times New Roman" w:eastAsia="Times New Roman" w:hAnsi="Times New Roman"/>
          <w:sz w:val="11"/>
          <w:szCs w:val="11"/>
          <w:b w:val="1"/>
          <w:bCs w:val="1"/>
          <w:color w:val="auto"/>
        </w:rPr>
        <w:t xml:space="preserve">At December 31, 2025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-635</wp:posOffset>
            </wp:positionV>
            <wp:extent cx="7918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ind w:right="1139" w:firstLine="24"/>
        <w:spacing w:after="0" w:line="198" w:lineRule="auto"/>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(unaudited, in millions)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-133350</wp:posOffset>
            </wp:positionV>
            <wp:extent cx="7918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6600" w:space="80"/>
            <w:col w:w="2339"/>
          </w:cols>
          <w:pgMar w:left="1440" w:top="98"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restricted cash and short-term investments:</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Short-term investments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40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Total cash and short-term investments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13335</wp:posOffset>
            </wp:positionV>
            <wp:extent cx="4262120"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Secured debt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4.375% SGR Senior Secured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4.625% SGR Senior Secured Notes due 2029</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SGR Term Loan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EETC Debt</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Bank Debt and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Finance leases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Unamortized (discount) premium and deferred financing fees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b w:val="1"/>
          <w:bCs w:val="1"/>
          <w:color w:val="auto"/>
        </w:rPr>
        <w:t>Total secured debt, finance leases and other financial liabilities</w:t>
      </w:r>
      <w:r>
        <w:rPr>
          <w:rFonts w:ascii="Times New Roman" w:cs="Times New Roman" w:eastAsia="Times New Roman" w:hAnsi="Times New Roman"/>
          <w:sz w:val="17"/>
          <w:szCs w:val="1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wp:posOffset>
            </wp:positionV>
            <wp:extent cx="4262120" cy="140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Notes offered hereby</w:t>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5.375%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1.000% PSP Notes due 2030 and 2031</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4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Total unsecured debt</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Total debt, finance leases and other financial liabilities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3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5,942​​</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6,298​​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6,298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2"/>
        </w:trPr>
        <w:tc>
          <w:tcPr>
            <w:tcW w:w="32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3"/>
                <w:szCs w:val="13"/>
                <w:color w:val="auto"/>
              </w:rPr>
              <w:t>139</w:t>
            </w:r>
            <w:r>
              <w:rPr>
                <w:rFonts w:ascii="Times New Roman" w:cs="Times New Roman" w:eastAsia="Times New Roman" w:hAnsi="Times New Roman"/>
                <w:sz w:val="23"/>
                <w:szCs w:val="23"/>
                <w:color w:val="auto"/>
                <w:vertAlign w:val="subscript"/>
              </w:rPr>
              <w:t>​​</w:t>
            </w:r>
          </w:p>
        </w:tc>
        <w:tc>
          <w:tcPr>
            <w:tcW w:w="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​​$12,379​​</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6"/>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2,000​​</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2,000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2,061​​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2,061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8,009​​</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8,009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4,061​​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4,061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474​​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3,248​​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3,248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4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5"/>
                <w:szCs w:val="15"/>
                <w:color w:val="auto"/>
              </w:rPr>
              <w:t>(117)</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tcPr>
          <w:p>
            <w:pPr>
              <w:jc w:val="right"/>
              <w:ind w:right="20"/>
              <w:spacing w:after="0" w:line="56"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​​$21,736​​</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​$21,736 ​</w:t>
            </w:r>
          </w:p>
        </w:tc>
        <w:tc>
          <w:tcPr>
            <w:tcW w:w="0" w:type="dxa"/>
            <w:vAlign w:val="bottom"/>
          </w:tcPr>
          <w:p>
            <w:pPr>
              <w:spacing w:after="0"/>
              <w:rPr>
                <w:sz w:val="1"/>
                <w:szCs w:val="1"/>
                <w:color w:val="auto"/>
              </w:rPr>
            </w:pPr>
          </w:p>
        </w:tc>
      </w:tr>
      <w:tr>
        <w:trPr>
          <w:trHeight w:val="221"/>
        </w:trPr>
        <w:tc>
          <w:tcPr>
            <w:tcW w:w="3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1,000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3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1,000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 ​ 3,181​​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 3,181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46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3"/>
                <w:szCs w:val="13"/>
                <w:color w:val="auto"/>
              </w:rPr>
              <w:t>71</w:t>
            </w:r>
            <w:r>
              <w:rPr>
                <w:rFonts w:ascii="Times New Roman" w:cs="Times New Roman" w:eastAsia="Times New Roman" w:hAnsi="Times New Roman"/>
                <w:sz w:val="24"/>
                <w:szCs w:val="24"/>
                <w:color w:val="auto"/>
                <w:vertAlign w:val="subscript"/>
              </w:rPr>
              <w:t>​​</w:t>
            </w:r>
          </w:p>
        </w:tc>
        <w:tc>
          <w:tcPr>
            <w:tcW w:w="24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​​$ 3,252​​</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5,252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7"/>
        </w:trPr>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​​$24,988​​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​$26,988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20" w:space="720"/>
            <w:col w:w="2579"/>
          </w:cols>
          <w:pgMar w:left="1440" w:top="98" w:right="1440" w:bottom="1440" w:gutter="0" w:footer="0" w:header="0"/>
          <w:type w:val="continuous"/>
        </w:sect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3"/>
            <w:shd w:val="clear" w:color="auto" w:fill="CCEEFF"/>
          </w:tcPr>
          <w:p>
            <w:pPr>
              <w:ind w:left="20"/>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15,282</w:t>
            </w:r>
            <w:r>
              <w:rPr>
                <w:rFonts w:ascii="Times New Roman" w:cs="Times New Roman" w:eastAsia="Times New Roman" w:hAnsi="Times New Roman"/>
                <w:sz w:val="27"/>
                <w:szCs w:val="27"/>
                <w:b w:val="1"/>
                <w:bCs w:val="1"/>
                <w:color w:val="auto"/>
                <w:vertAlign w:val="subscript"/>
              </w:rPr>
              <w:t>​​</w:t>
            </w:r>
          </w:p>
        </w:tc>
        <w:tc>
          <w:tcPr>
            <w:tcW w:w="640" w:type="dxa"/>
            <w:vAlign w:val="bottom"/>
            <w:gridSpan w:val="4"/>
            <w:shd w:val="clear" w:color="auto" w:fill="CCEEFF"/>
          </w:tcPr>
          <w:p>
            <w:pPr>
              <w:ind w:left="20"/>
              <w:spacing w:after="0" w:line="233"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$15,282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53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capitalization</w:t>
            </w:r>
          </w:p>
        </w:tc>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40,269</w:t>
            </w:r>
            <w:r>
              <w:rPr>
                <w:rFonts w:ascii="Times New Roman" w:cs="Times New Roman" w:eastAsia="Times New Roman" w:hAnsi="Times New Roman"/>
                <w:sz w:val="25"/>
                <w:szCs w:val="25"/>
                <w:b w:val="1"/>
                <w:bCs w:val="1"/>
                <w:color w:val="auto"/>
                <w:vertAlign w:val="subscript"/>
              </w:rPr>
              <w:t>​​</w:t>
            </w:r>
          </w:p>
        </w:tc>
        <w:tc>
          <w:tcPr>
            <w:tcW w:w="68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$42,269 </w:t>
            </w:r>
            <w:r>
              <w:rPr>
                <w:rFonts w:ascii="Times New Roman" w:cs="Times New Roman" w:eastAsia="Times New Roman" w:hAnsi="Times New Roman"/>
                <w:sz w:val="25"/>
                <w:szCs w:val="25"/>
                <w:b w:val="1"/>
                <w:bCs w:val="1"/>
                <w:color w:val="auto"/>
                <w:vertAlign w:val="subscript"/>
              </w:rPr>
              <w:t>​</w:t>
            </w:r>
          </w:p>
        </w:tc>
      </w:tr>
      <w:tr>
        <w:trPr>
          <w:trHeight w:val="79"/>
        </w:trPr>
        <w:tc>
          <w:tcPr>
            <w:tcW w:w="2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-223520</wp:posOffset>
            </wp:positionV>
            <wp:extent cx="2794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87" w:lineRule="exact"/>
        <w:rPr>
          <w:sz w:val="20"/>
          <w:szCs w:val="20"/>
          <w:color w:val="auto"/>
        </w:rPr>
      </w:pPr>
    </w:p>
    <w:p>
      <w:pPr>
        <w:ind w:left="1440" w:right="1179" w:hanging="292"/>
        <w:spacing w:after="0" w:line="253" w:lineRule="auto"/>
        <w:tabs>
          <w:tab w:leader="none" w:pos="14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included in the table above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w:t>
      </w:r>
    </w:p>
    <w:p>
      <w:pPr>
        <w:spacing w:after="0" w:line="211" w:lineRule="exact"/>
        <w:rPr>
          <w:rFonts w:ascii="Times New Roman" w:cs="Times New Roman" w:eastAsia="Times New Roman" w:hAnsi="Times New Roman"/>
          <w:sz w:val="15"/>
          <w:szCs w:val="15"/>
          <w:color w:val="auto"/>
        </w:rPr>
      </w:pPr>
    </w:p>
    <w:p>
      <w:pPr>
        <w:ind w:left="1440" w:right="1279" w:hanging="292"/>
        <w:spacing w:after="0" w:line="271" w:lineRule="auto"/>
        <w:tabs>
          <w:tab w:leader="none" w:pos="14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United had available and undrawn $3.0 billion under a secured revolving credit facility as of December 31, 2025 and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SELECTED FINANCIAL DATA</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Last twelve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80" w:type="dxa"/>
            <w:vAlign w:val="bottom"/>
          </w:tcPr>
          <w:p>
            <w:pPr>
              <w:spacing w:after="0"/>
              <w:rPr>
                <w:sz w:val="3"/>
                <w:szCs w:val="3"/>
                <w:color w:val="auto"/>
              </w:rPr>
            </w:pPr>
          </w:p>
        </w:tc>
        <w:tc>
          <w:tcPr>
            <w:tcW w:w="68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Year ended</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vMerge w:val="restart"/>
          </w:tcPr>
          <w:p>
            <w:pPr>
              <w:ind w:left="12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September 30,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80" w:type="dxa"/>
            <w:vAlign w:val="bottom"/>
          </w:tcPr>
          <w:p>
            <w:pPr>
              <w:spacing w:after="0"/>
              <w:rPr>
                <w:sz w:val="7"/>
                <w:szCs w:val="7"/>
                <w:color w:val="auto"/>
              </w:rPr>
            </w:pPr>
          </w:p>
        </w:tc>
        <w:tc>
          <w:tcPr>
            <w:tcW w:w="68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December 31,</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2025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w:t>
            </w: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​​$2,309​​ ​​$2,164​​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​$3,295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​$3,149</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19"/>
                <w:szCs w:val="19"/>
                <w:color w:val="auto"/>
                <w:vertAlign w:val="superscript"/>
              </w:rPr>
              <w:t>(1)</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​5,890​​ ​​ ​5,876​​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​8,229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​8,211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EBITDAR</w:t>
            </w:r>
            <w:r>
              <w:rPr>
                <w:rFonts w:ascii="Times New Roman" w:cs="Times New Roman" w:eastAsia="Times New Roman" w:hAnsi="Times New Roman"/>
                <w:sz w:val="19"/>
                <w:szCs w:val="19"/>
                <w:color w:val="auto"/>
                <w:vertAlign w:val="superscript"/>
              </w:rPr>
              <w:t>(1)</w:t>
            </w:r>
          </w:p>
        </w:tc>
        <w:tc>
          <w:tcPr>
            <w:tcW w:w="132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​6,545​​ ​​ ​6,520​​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​9,095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​9,066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-426720</wp:posOffset>
            </wp:positionV>
            <wp:extent cx="4262120" cy="133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-146685</wp:posOffset>
            </wp:positionV>
            <wp:extent cx="4262120" cy="147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-560070</wp:posOffset>
            </wp:positionV>
            <wp:extent cx="1123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-560070</wp:posOffset>
            </wp:positionV>
            <wp:extent cx="1123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-560070</wp:posOffset>
            </wp:positionV>
            <wp:extent cx="1123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112395</wp:posOffset>
            </wp:positionV>
            <wp:extent cx="10096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74" w:lineRule="exact"/>
        <w:rPr>
          <w:sz w:val="20"/>
          <w:szCs w:val="20"/>
          <w:color w:val="auto"/>
        </w:rPr>
      </w:pPr>
    </w:p>
    <w:p>
      <w:pPr>
        <w:ind w:left="1440" w:right="1159" w:hanging="292"/>
        <w:spacing w:after="0" w:line="246" w:lineRule="auto"/>
        <w:tabs>
          <w:tab w:leader="none" w:pos="14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 ended</w:t>
            </w:r>
          </w:p>
        </w:tc>
        <w:tc>
          <w:tcPr>
            <w:tcW w:w="16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Last twelve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3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5"/>
            <w:vMerge w:val="continue"/>
          </w:tcPr>
          <w:p>
            <w:pPr>
              <w:spacing w:after="0"/>
              <w:rPr>
                <w:sz w:val="4"/>
                <w:szCs w:val="4"/>
                <w:color w:val="auto"/>
              </w:rPr>
            </w:pPr>
          </w:p>
        </w:tc>
        <w:tc>
          <w:tcPr>
            <w:tcW w:w="820" w:type="dxa"/>
            <w:vAlign w:val="bottom"/>
            <w:gridSpan w:val="5"/>
            <w:vMerge w:val="restart"/>
          </w:tcPr>
          <w:p>
            <w:pPr>
              <w:jc w:val="center"/>
              <w:ind w:left="39"/>
              <w:spacing w:after="0" w:line="119"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60" w:type="dxa"/>
            <w:vAlign w:val="bottom"/>
          </w:tcPr>
          <w:p>
            <w:pPr>
              <w:spacing w:after="0"/>
              <w:rPr>
                <w:sz w:val="4"/>
                <w:szCs w:val="4"/>
                <w:color w:val="auto"/>
              </w:rPr>
            </w:pPr>
          </w:p>
        </w:tc>
        <w:tc>
          <w:tcPr>
            <w:tcW w:w="660" w:type="dxa"/>
            <w:vAlign w:val="bottom"/>
            <w:gridSpan w:val="4"/>
            <w:vMerge w:val="restart"/>
          </w:tcPr>
          <w:p>
            <w:pPr>
              <w:jc w:val="center"/>
              <w:ind w:right="6"/>
              <w:spacing w:after="0" w:line="119" w:lineRule="exact"/>
              <w:rPr>
                <w:sz w:val="20"/>
                <w:szCs w:val="20"/>
                <w:color w:val="auto"/>
              </w:rPr>
            </w:pPr>
            <w:r>
              <w:rPr>
                <w:rFonts w:ascii="Times New Roman" w:cs="Times New Roman" w:eastAsia="Times New Roman" w:hAnsi="Times New Roman"/>
                <w:sz w:val="12"/>
                <w:szCs w:val="12"/>
                <w:b w:val="1"/>
                <w:bCs w:val="1"/>
                <w:color w:val="auto"/>
                <w:w w:val="91"/>
              </w:rPr>
              <w:t>Year ended</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13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4"/>
            <w:vMerge w:val="restart"/>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82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3700" w:type="dxa"/>
            <w:vAlign w:val="bottom"/>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vMerge w:val="continue"/>
          </w:tcPr>
          <w:p>
            <w:pPr>
              <w:spacing w:after="0"/>
              <w:rPr>
                <w:sz w:val="10"/>
                <w:szCs w:val="10"/>
                <w:color w:val="auto"/>
              </w:rPr>
            </w:pPr>
          </w:p>
        </w:tc>
        <w:tc>
          <w:tcPr>
            <w:tcW w:w="820" w:type="dxa"/>
            <w:vAlign w:val="bottom"/>
            <w:gridSpan w:val="5"/>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vertAlign w:val="superscript"/>
              </w:rPr>
              <w:t>​</w:t>
            </w:r>
            <w:r>
              <w:rPr>
                <w:rFonts w:ascii="Times New Roman" w:cs="Times New Roman" w:eastAsia="Times New Roman" w:hAnsi="Times New Roman"/>
                <w:sz w:val="8"/>
                <w:szCs w:val="8"/>
                <w:b w:val="1"/>
                <w:bCs w:val="1"/>
                <w:color w:val="auto"/>
              </w:rPr>
              <w:t xml:space="preserve"> September 30,</w:t>
            </w:r>
          </w:p>
        </w:tc>
        <w:tc>
          <w:tcPr>
            <w:tcW w:w="820" w:type="dxa"/>
            <w:vAlign w:val="bottom"/>
            <w:gridSpan w:val="5"/>
          </w:tcPr>
          <w:p>
            <w:pPr>
              <w:jc w:val="center"/>
              <w:ind w:left="9"/>
              <w:spacing w:after="0" w:line="126"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gridSpan w:val="6"/>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2025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2024</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3"/>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3"/>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140" w:type="dxa"/>
            <w:vAlign w:val="bottom"/>
          </w:tcPr>
          <w:p>
            <w:pPr>
              <w:spacing w:after="0"/>
              <w:rPr>
                <w:sz w:val="15"/>
                <w:szCs w:val="15"/>
                <w:color w:val="auto"/>
              </w:rPr>
            </w:pPr>
          </w:p>
        </w:tc>
        <w:tc>
          <w:tcPr>
            <w:tcW w:w="1020" w:type="dxa"/>
            <w:vAlign w:val="bottom"/>
          </w:tcPr>
          <w:p>
            <w:pPr>
              <w:jc w:val="right"/>
              <w:ind w:right="936"/>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7"/>
          </w:tcPr>
          <w:p>
            <w:pPr>
              <w:jc w:val="right"/>
              <w:ind w:right="9"/>
              <w:spacing w:after="0"/>
              <w:rPr>
                <w:sz w:val="20"/>
                <w:szCs w:val="20"/>
                <w:color w:val="auto"/>
              </w:rPr>
            </w:pPr>
            <w:r>
              <w:rPr>
                <w:rFonts w:ascii="Times New Roman" w:cs="Times New Roman" w:eastAsia="Times New Roman" w:hAnsi="Times New Roman"/>
                <w:sz w:val="12"/>
                <w:szCs w:val="12"/>
                <w:b w:val="1"/>
                <w:bCs w:val="1"/>
                <w:color w:val="auto"/>
                <w:w w:val="95"/>
              </w:rPr>
              <w:t>(unaudited, in millions)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Pr>
          <w:p>
            <w:pPr>
              <w:jc w:val="right"/>
              <w:ind w:right="936"/>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13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 and Adjusted EBITDAR Calculations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​​​$2,309​​​​$2,164​​​</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​$3,295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​$3,149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for:</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 ​2,191​​​​ ​2,169​​​</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​2,950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​2,928</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 net of capitalized interest and interest</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income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424​​​​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676</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expense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672​​​​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994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​1,019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Special charges (credits)</w:t>
            </w:r>
            <w:r>
              <w:rPr>
                <w:rFonts w:ascii="Times New Roman" w:cs="Times New Roman" w:eastAsia="Times New Roman" w:hAnsi="Times New Roman"/>
                <w:sz w:val="19"/>
                <w:szCs w:val="19"/>
                <w:color w:val="auto"/>
                <w:vertAlign w:val="superscript"/>
              </w:rPr>
              <w:t>(A)</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266​​​​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112</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Nonoperating unrealized losses on investments, net</w:t>
            </w:r>
            <w:r>
              <w:rPr>
                <w:rFonts w:ascii="Times New Roman" w:cs="Times New Roman" w:eastAsia="Times New Roman" w:hAnsi="Times New Roman"/>
                <w:sz w:val="19"/>
                <w:szCs w:val="19"/>
                <w:color w:val="auto"/>
                <w:vertAlign w:val="superscript"/>
              </w:rPr>
              <w:t>(A)</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47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199</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Nonoperating debt extinguishment and modification</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3700" w:type="dxa"/>
            <w:vAlign w:val="bottom"/>
            <w:shd w:val="clear" w:color="auto" w:fill="CCEEFF"/>
          </w:tcPr>
          <w:p>
            <w:pPr>
              <w:ind w:left="300"/>
              <w:spacing w:after="0" w:line="216" w:lineRule="exact"/>
              <w:rPr>
                <w:sz w:val="20"/>
                <w:szCs w:val="20"/>
                <w:color w:val="auto"/>
              </w:rPr>
            </w:pPr>
            <w:r>
              <w:rPr>
                <w:rFonts w:ascii="Times New Roman" w:cs="Times New Roman" w:eastAsia="Times New Roman" w:hAnsi="Times New Roman"/>
                <w:sz w:val="15"/>
                <w:szCs w:val="15"/>
                <w:color w:val="auto"/>
              </w:rPr>
              <w:t>fees</w:t>
            </w:r>
            <w:r>
              <w:rPr>
                <w:rFonts w:ascii="Times New Roman" w:cs="Times New Roman" w:eastAsia="Times New Roman" w:hAnsi="Times New Roman"/>
                <w:sz w:val="19"/>
                <w:szCs w:val="19"/>
                <w:color w:val="auto"/>
                <w:vertAlign w:val="superscript"/>
              </w:rPr>
              <w:t>(A)</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128</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​​​$5,890​​​​$5,876​​​</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​$8,229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​$ 8,211</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Fixed portion of operating lease expense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654​​​​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855</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EBITDAR</w:t>
            </w:r>
            <w:r>
              <w:rPr>
                <w:rFonts w:ascii="Times New Roman" w:cs="Times New Roman" w:eastAsia="Times New Roman" w:hAnsi="Times New Roman"/>
                <w:sz w:val="19"/>
                <w:szCs w:val="19"/>
                <w:color w:val="auto"/>
                <w:vertAlign w:val="superscript"/>
              </w:rPr>
              <w:t>(B)</w:t>
            </w: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​​​$6,545​​​​$6,520​​​</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​$9,095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​$9,066</w:t>
            </w:r>
          </w:p>
        </w:tc>
        <w:tc>
          <w:tcPr>
            <w:tcW w:w="1020" w:type="dxa"/>
            <w:vAlign w:val="bottom"/>
          </w:tcPr>
          <w:p>
            <w:pPr>
              <w:jc w:val="right"/>
              <w:ind w:right="91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3700" w:type="dxa"/>
            <w:vAlign w:val="bottom"/>
          </w:tcPr>
          <w:p>
            <w:pPr>
              <w:ind w:left="2900"/>
              <w:spacing w:after="0"/>
              <w:rPr>
                <w:sz w:val="20"/>
                <w:szCs w:val="20"/>
                <w:color w:val="auto"/>
              </w:rPr>
            </w:pPr>
            <w:r>
              <w:rPr>
                <w:rFonts w:ascii="Times New Roman" w:cs="Times New Roman" w:eastAsia="Times New Roman" w:hAnsi="Times New Roman"/>
                <w:sz w:val="15"/>
                <w:szCs w:val="15"/>
                <w:color w:val="auto"/>
              </w:rPr>
              <w:t>S-12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-2432050</wp:posOffset>
            </wp:positionV>
            <wp:extent cx="698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-2432050</wp:posOffset>
            </wp:positionV>
            <wp:extent cx="698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-2432050</wp:posOffset>
            </wp:positionV>
            <wp:extent cx="698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452120</wp:posOffset>
            </wp:positionV>
            <wp:extent cx="10096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740" w:right="1319" w:hanging="298"/>
        <w:spacing w:after="0" w:line="255"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table presents additional information regarding the special charges and unrealized losses on investments excluded from net income in calculating Adjusted EBITDA and Adjusted</w:t>
      </w:r>
    </w:p>
    <w:p>
      <w:pPr>
        <w:spacing w:after="0" w:line="1" w:lineRule="exact"/>
        <w:rPr>
          <w:rFonts w:ascii="Times New Roman" w:cs="Times New Roman" w:eastAsia="Times New Roman" w:hAnsi="Times New Roman"/>
          <w:sz w:val="15"/>
          <w:szCs w:val="15"/>
          <w:color w:val="auto"/>
        </w:rPr>
      </w:pPr>
    </w:p>
    <w:p>
      <w:pPr>
        <w:ind w:left="17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EBITDAR:</w:t>
      </w:r>
    </w:p>
    <w:p>
      <w:pPr>
        <w:spacing w:after="0" w:line="134"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Last twelve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6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months ended</w:t>
            </w:r>
          </w:p>
        </w:tc>
        <w:tc>
          <w:tcPr>
            <w:tcW w:w="160" w:type="dxa"/>
            <w:vAlign w:val="bottom"/>
          </w:tcPr>
          <w:p>
            <w:pPr>
              <w:spacing w:after="0"/>
              <w:rPr>
                <w:sz w:val="3"/>
                <w:szCs w:val="3"/>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Year ended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vMerge w:val="restart"/>
          </w:tcPr>
          <w:p>
            <w:pPr>
              <w:ind w:left="1640"/>
              <w:spacing w:after="0"/>
              <w:rPr>
                <w:sz w:val="20"/>
                <w:szCs w:val="20"/>
                <w:color w:val="auto"/>
              </w:rPr>
            </w:pPr>
            <w:r>
              <w:rPr>
                <w:rFonts w:ascii="Times New Roman" w:cs="Times New Roman" w:eastAsia="Times New Roman" w:hAnsi="Times New Roman"/>
                <w:sz w:val="12"/>
                <w:szCs w:val="12"/>
                <w:b w:val="1"/>
                <w:bCs w:val="1"/>
                <w:color w:val="auto"/>
              </w:rPr>
              <w:t>​ ​</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60" w:type="dxa"/>
            <w:vAlign w:val="bottom"/>
          </w:tcPr>
          <w:p>
            <w:pPr>
              <w:spacing w:after="0"/>
              <w:rPr>
                <w:sz w:val="7"/>
                <w:szCs w:val="7"/>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12"/>
                <w:szCs w:val="12"/>
                <w:b w:val="1"/>
                <w:bCs w:val="1"/>
                <w:color w:val="auto"/>
              </w:rPr>
              <w:t xml:space="preserve">2025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w:t>
            </w: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tcPr>
          <w:p>
            <w:pPr>
              <w:ind w:left="1640"/>
              <w:spacing w:after="0"/>
              <w:rPr>
                <w:sz w:val="20"/>
                <w:szCs w:val="20"/>
                <w:color w:val="auto"/>
              </w:rPr>
            </w:pPr>
            <w:r>
              <w:rPr>
                <w:rFonts w:ascii="Times New Roman" w:cs="Times New Roman" w:eastAsia="Times New Roman" w:hAnsi="Times New Roman"/>
                <w:sz w:val="12"/>
                <w:szCs w:val="12"/>
                <w:b w:val="1"/>
                <w:bCs w:val="1"/>
                <w:color w:val="auto"/>
              </w:rPr>
              <w:t>​ ​</w:t>
            </w:r>
          </w:p>
        </w:tc>
        <w:tc>
          <w:tcPr>
            <w:tcW w:w="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3"/>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60" w:type="dxa"/>
            <w:vAlign w:val="bottom"/>
          </w:tcPr>
          <w:p>
            <w:pPr>
              <w:ind w:left="1620"/>
              <w:spacing w:after="0"/>
              <w:rPr>
                <w:sz w:val="20"/>
                <w:szCs w:val="20"/>
                <w:color w:val="auto"/>
              </w:rPr>
            </w:pPr>
            <w:r>
              <w:rPr>
                <w:rFonts w:ascii="Times New Roman" w:cs="Times New Roman" w:eastAsia="Times New Roman" w:hAnsi="Times New Roman"/>
                <w:sz w:val="12"/>
                <w:szCs w:val="12"/>
                <w:b w:val="1"/>
                <w:bCs w:val="1"/>
                <w:color w:val="auto"/>
              </w:rPr>
              <w:t>​ ​</w:t>
            </w:r>
          </w:p>
        </w:tc>
        <w:tc>
          <w:tcPr>
            <w:tcW w:w="2000" w:type="dxa"/>
            <w:vAlign w:val="bottom"/>
            <w:gridSpan w:val="4"/>
          </w:tcPr>
          <w:p>
            <w:pPr>
              <w:ind w:left="780"/>
              <w:spacing w:after="0"/>
              <w:rPr>
                <w:sz w:val="20"/>
                <w:szCs w:val="20"/>
                <w:color w:val="auto"/>
              </w:rPr>
            </w:pPr>
            <w:r>
              <w:rPr>
                <w:rFonts w:ascii="Times New Roman" w:cs="Times New Roman" w:eastAsia="Times New Roman" w:hAnsi="Times New Roman"/>
                <w:sz w:val="12"/>
                <w:szCs w:val="12"/>
                <w:b w:val="1"/>
                <w:bCs w:val="1"/>
                <w:color w:val="auto"/>
              </w:rPr>
              <w:t>(unaudited, in millions)</w:t>
            </w:r>
          </w:p>
        </w:tc>
        <w:tc>
          <w:tcPr>
            <w:tcW w:w="70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-1270</wp:posOffset>
            </wp:positionV>
            <wp:extent cx="3883660" cy="24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83660" cy="24511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-134620</wp:posOffset>
            </wp:positionV>
            <wp:extent cx="1123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-134620</wp:posOffset>
            </wp:positionV>
            <wp:extent cx="984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-134620</wp:posOffset>
            </wp:positionV>
            <wp:extent cx="984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425"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3" w:lineRule="exact"/>
        <w:rPr>
          <w:sz w:val="20"/>
          <w:szCs w:val="20"/>
          <w:color w:val="auto"/>
        </w:rPr>
      </w:pPr>
    </w:p>
    <w:p>
      <w:pPr>
        <w:ind w:left="1880" w:right="300" w:hanging="146"/>
        <w:spacing w:after="0" w:line="274" w:lineRule="auto"/>
        <w:rPr>
          <w:sz w:val="20"/>
          <w:szCs w:val="20"/>
          <w:color w:val="auto"/>
        </w:rPr>
      </w:pPr>
      <w:r>
        <w:rPr>
          <w:rFonts w:ascii="Times New Roman" w:cs="Times New Roman" w:eastAsia="Times New Roman" w:hAnsi="Times New Roman"/>
          <w:sz w:val="15"/>
          <w:szCs w:val="15"/>
          <w:b w:val="1"/>
          <w:bCs w:val="1"/>
          <w:color w:val="auto"/>
        </w:rPr>
        <w:t>Special charges (credits) and unrealized losses on investments</w:t>
      </w:r>
    </w:p>
    <w:p>
      <w:pPr>
        <w:spacing w:after="0" w:line="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color w:val="auto"/>
        </w:rPr>
        <w:t>Operating labor contract ratification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3883660" cy="245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83660" cy="245110"/>
                    </a:xfrm>
                    <a:prstGeom prst="rect">
                      <a:avLst/>
                    </a:prstGeom>
                    <a:noFill/>
                  </pic:spPr>
                </pic:pic>
              </a:graphicData>
            </a:graphic>
          </wp:anchor>
        </w:drawing>
      </w:r>
    </w:p>
    <w:p>
      <w:pPr>
        <w:spacing w:after="0" w:line="6" w:lineRule="exact"/>
        <w:rPr>
          <w:sz w:val="20"/>
          <w:szCs w:val="20"/>
          <w:color w:val="auto"/>
        </w:rPr>
      </w:pPr>
    </w:p>
    <w:p>
      <w:pPr>
        <w:ind w:left="1880" w:right="80" w:hanging="146"/>
        <w:spacing w:after="0" w:line="268" w:lineRule="auto"/>
        <w:rPr>
          <w:sz w:val="20"/>
          <w:szCs w:val="20"/>
          <w:color w:val="auto"/>
        </w:rPr>
      </w:pPr>
      <w:r>
        <w:rPr>
          <w:rFonts w:ascii="Times New Roman" w:cs="Times New Roman" w:eastAsia="Times New Roman" w:hAnsi="Times New Roman"/>
          <w:sz w:val="15"/>
          <w:szCs w:val="15"/>
          <w:color w:val="auto"/>
        </w:rPr>
        <w:t>Operating (gains) losses on sale of assets and other special charges</w:t>
      </w:r>
    </w:p>
    <w:p>
      <w:pPr>
        <w:spacing w:after="0" w:line="1" w:lineRule="exact"/>
        <w:rPr>
          <w:sz w:val="20"/>
          <w:szCs w:val="20"/>
          <w:color w:val="auto"/>
        </w:rPr>
      </w:pPr>
    </w:p>
    <w:p>
      <w:pPr>
        <w:ind w:left="1880" w:right="280" w:hanging="146"/>
        <w:spacing w:after="0" w:line="268" w:lineRule="auto"/>
        <w:rPr>
          <w:sz w:val="20"/>
          <w:szCs w:val="20"/>
          <w:color w:val="auto"/>
        </w:rPr>
      </w:pPr>
      <w:r>
        <w:rPr>
          <w:rFonts w:ascii="Times New Roman" w:cs="Times New Roman" w:eastAsia="Times New Roman" w:hAnsi="Times New Roman"/>
          <w:sz w:val="15"/>
          <w:szCs w:val="15"/>
          <w:color w:val="auto"/>
        </w:rPr>
        <w:t>Nonoperating unrealized losses on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3883660" cy="259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83660" cy="259080"/>
                    </a:xfrm>
                    <a:prstGeom prst="rect">
                      <a:avLst/>
                    </a:prstGeom>
                    <a:noFill/>
                  </pic:spPr>
                </pic:pic>
              </a:graphicData>
            </a:graphic>
          </wp:anchor>
        </w:drawing>
      </w:r>
    </w:p>
    <w:p>
      <w:pPr>
        <w:ind w:left="1880" w:hanging="146"/>
        <w:spacing w:after="0" w:line="271" w:lineRule="auto"/>
        <w:rPr>
          <w:sz w:val="20"/>
          <w:szCs w:val="20"/>
          <w:color w:val="auto"/>
        </w:rPr>
      </w:pPr>
      <w:r>
        <w:rPr>
          <w:rFonts w:ascii="Times New Roman" w:cs="Times New Roman" w:eastAsia="Times New Roman" w:hAnsi="Times New Roman"/>
          <w:sz w:val="15"/>
          <w:szCs w:val="15"/>
          <w:color w:val="auto"/>
        </w:rPr>
        <w:t>Nonoperating debt extinguishment and modification fees</w:t>
      </w:r>
    </w:p>
    <w:p>
      <w:pPr>
        <w:spacing w:after="0" w:line="19" w:lineRule="exact"/>
        <w:rPr>
          <w:sz w:val="20"/>
          <w:szCs w:val="20"/>
          <w:color w:val="auto"/>
        </w:rPr>
      </w:pPr>
    </w:p>
    <w:p>
      <w:pPr>
        <w:jc w:val="both"/>
        <w:ind w:left="1880" w:right="200" w:hanging="146"/>
        <w:spacing w:after="0" w:line="258" w:lineRule="auto"/>
        <w:rPr>
          <w:sz w:val="20"/>
          <w:szCs w:val="20"/>
          <w:color w:val="auto"/>
        </w:rPr>
      </w:pPr>
      <w:r>
        <w:rPr>
          <w:rFonts w:ascii="Times New Roman" w:cs="Times New Roman" w:eastAsia="Times New Roman" w:hAnsi="Times New Roman"/>
          <w:sz w:val="15"/>
          <w:szCs w:val="15"/>
          <w:color w:val="auto"/>
        </w:rPr>
        <w:t>Total operating and nonoperating special charges (credits) and unrealized losses on investments, net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 ​</w:t>
            </w:r>
          </w:p>
        </w:tc>
        <w:tc>
          <w:tcPr>
            <w:tcW w:w="18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232"/>
        </w:trPr>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​$ 561 ​​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​$ 561</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64"/>
        </w:trPr>
        <w:tc>
          <w:tcPr>
            <w:tcW w:w="8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 ​(295)​​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44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​(226)</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​112</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86"/>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​160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​199</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98"/>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 ​110 ​​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​128</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54"/>
        </w:trPr>
        <w:tc>
          <w:tcPr>
            <w:tcW w:w="520" w:type="dxa"/>
            <w:vAlign w:val="bottom"/>
            <w:gridSpan w:val="3"/>
          </w:tcPr>
          <w:p>
            <w:pPr>
              <w:ind w:left="20"/>
              <w:spacing w:after="0"/>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5"/>
                <w:szCs w:val="15"/>
                <w:color w:val="auto"/>
              </w:rPr>
              <w:t>$ 295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9"/>
                <w:szCs w:val="29"/>
                <w:u w:val="single" w:color="auto"/>
                <w:color w:val="auto"/>
                <w:vertAlign w:val="superscript"/>
              </w:rPr>
              <w:t>$</w:t>
            </w:r>
            <w:r>
              <w:rPr>
                <w:rFonts w:ascii="Times New Roman" w:cs="Times New Roman" w:eastAsia="Times New Roman" w:hAnsi="Times New Roman"/>
                <w:sz w:val="29"/>
                <w:szCs w:val="29"/>
                <w:color w:val="auto"/>
                <w:vertAlign w:val="superscript"/>
              </w:rPr>
              <w:t>314</w:t>
            </w:r>
            <w:r>
              <w:rPr>
                <w:rFonts w:ascii="Times New Roman" w:cs="Times New Roman" w:eastAsia="Times New Roman" w:hAnsi="Times New Roman"/>
                <w:sz w:val="15"/>
                <w:szCs w:val="15"/>
                <w:color w:val="auto"/>
              </w:rPr>
              <w:t xml:space="preserve"> ​​ ​</w:t>
            </w: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$ 421</w:t>
            </w: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spacing w:after="0"/>
              <w:rPr>
                <w:sz w:val="20"/>
                <w:szCs w:val="20"/>
                <w:color w:val="auto"/>
              </w:rPr>
            </w:pPr>
            <w:r>
              <w:rPr>
                <w:rFonts w:ascii="Times New Roman" w:cs="Times New Roman" w:eastAsia="Times New Roman" w:hAnsi="Times New Roman"/>
                <w:sz w:val="29"/>
                <w:szCs w:val="29"/>
                <w:color w:val="auto"/>
                <w:w w:val="93"/>
                <w:vertAlign w:val="subscript"/>
              </w:rPr>
              <w:t>​</w:t>
            </w:r>
            <w:r>
              <w:rPr>
                <w:rFonts w:ascii="Times New Roman" w:cs="Times New Roman" w:eastAsia="Times New Roman" w:hAnsi="Times New Roman"/>
                <w:sz w:val="15"/>
                <w:szCs w:val="15"/>
                <w:color w:val="auto"/>
                <w:w w:val="93"/>
              </w:rPr>
              <w:t>$439</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8" w:lineRule="exact"/>
        <w:rPr>
          <w:sz w:val="20"/>
          <w:szCs w:val="20"/>
          <w:color w:val="auto"/>
        </w:rPr>
      </w:pPr>
    </w:p>
    <w:p>
      <w:pPr>
        <w:sectPr>
          <w:pgSz w:w="11900" w:h="16838" w:orient="portrait"/>
          <w:cols w:equalWidth="0" w:num="2">
            <w:col w:w="4960" w:space="60"/>
            <w:col w:w="3999"/>
          </w:cols>
          <w:pgMar w:left="1440" w:top="98"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5"/>
          <w:szCs w:val="15"/>
          <w:color w:val="auto"/>
        </w:rPr>
        <w:t>(B) The prior period has been recast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NOTES</w:t>
      </w:r>
    </w:p>
    <w:p>
      <w:pPr>
        <w:spacing w:after="0" w:line="128" w:lineRule="exact"/>
        <w:rPr>
          <w:sz w:val="20"/>
          <w:szCs w:val="20"/>
          <w:color w:val="auto"/>
        </w:rPr>
      </w:pPr>
    </w:p>
    <w:p>
      <w:pPr>
        <w:ind w:left="1140" w:right="1199" w:firstLine="294"/>
        <w:spacing w:after="0" w:line="257" w:lineRule="auto"/>
        <w:rPr>
          <w:sz w:val="20"/>
          <w:szCs w:val="20"/>
          <w:color w:val="auto"/>
        </w:rPr>
      </w:pPr>
      <w:r>
        <w:rPr>
          <w:rFonts w:ascii="Times New Roman" w:cs="Times New Roman" w:eastAsia="Times New Roman" w:hAnsi="Times New Roman"/>
          <w:sz w:val="15"/>
          <w:szCs w:val="15"/>
          <w:color w:val="auto"/>
        </w:rPr>
        <w:t>We will issue the notes under an indenture, dated as of May 7, 2013, among UAL, United and The Bank of New York Mellon Trust Company, N.A., as trustee (the “Trustee”), as supplemented by a supplemental indenture dated as of the date of issuance of the notes. The following summarizes the material provisions of the notes. The following description supplements (and, to the extent inconsistent therewith, replaces) the description of the terms of the debt securities and guarantees under “Description of Debt Securities and Guarantees” in the accompanying prospectus. See “— Certain Definitions” below for definitions of certain capitalized terms used in the following description. We refer to the indenture, as supplemented by such supplemental indenture, as the “indenture.” The following description does not purport to be complete and is subject to, and qualified by reference to, all of the provisions of the indenture and the notes, which we urge you to read because they, and not this description, define your rights as a note holder. A copy of the form of the indenture (prior to such supplement) has been filed as an exhibit to the registration statement relating to this prospectus.</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The notes will be initially limited to $1,000,000,000 aggregate principal amount, will mature on March 1, 2029 and will be our senior unsecured obligations.</w:t>
      </w:r>
    </w:p>
    <w:p>
      <w:pPr>
        <w:spacing w:after="0" w:line="74" w:lineRule="exact"/>
        <w:rPr>
          <w:sz w:val="20"/>
          <w:szCs w:val="20"/>
          <w:color w:val="auto"/>
        </w:rPr>
      </w:pPr>
    </w:p>
    <w:p>
      <w:pPr>
        <w:ind w:left="1140" w:right="1219" w:firstLine="294"/>
        <w:spacing w:after="0" w:line="258" w:lineRule="auto"/>
        <w:rPr>
          <w:sz w:val="20"/>
          <w:szCs w:val="20"/>
          <w:color w:val="auto"/>
        </w:rPr>
      </w:pPr>
      <w:r>
        <w:rPr>
          <w:rFonts w:ascii="Times New Roman" w:cs="Times New Roman" w:eastAsia="Times New Roman" w:hAnsi="Times New Roman"/>
          <w:sz w:val="15"/>
          <w:szCs w:val="15"/>
          <w:color w:val="auto"/>
        </w:rPr>
        <w:t>The notes bear interest at the rate of           % per year on the principal amount from the original issue date or from the most recent date to which interest has been paid or for which interest has been provided. Interest is payable semiannually in arrears on March 1 and September 1, commencing on September 1, 2026, to holders of record at the close of business on the February 15 and August 15 (whether or not a business day) immediately preceding such interest payment date. Each payment of interest on the notes will include interest accrued through the day before the applicable interest payment date (or redemption date, as the case may be). Any payment required to be made on any day that is not a business day will be made on the next succeeding business day with the same force and effect as if made on such scheduled payment date and without any interest or other payment due to the delay. Interest is calculated using a 360-day year composed of twelve 30-day months.</w:t>
      </w:r>
    </w:p>
    <w:p>
      <w:pPr>
        <w:spacing w:after="0" w:line="100" w:lineRule="exact"/>
        <w:rPr>
          <w:sz w:val="20"/>
          <w:szCs w:val="20"/>
          <w:color w:val="auto"/>
        </w:rPr>
      </w:pPr>
    </w:p>
    <w:p>
      <w:pPr>
        <w:ind w:left="1140" w:right="1179" w:firstLine="294"/>
        <w:spacing w:after="0" w:line="264" w:lineRule="auto"/>
        <w:rPr>
          <w:sz w:val="20"/>
          <w:szCs w:val="20"/>
          <w:color w:val="auto"/>
        </w:rPr>
      </w:pPr>
      <w:r>
        <w:rPr>
          <w:rFonts w:ascii="Times New Roman" w:cs="Times New Roman" w:eastAsia="Times New Roman" w:hAnsi="Times New Roman"/>
          <w:sz w:val="15"/>
          <w:szCs w:val="15"/>
          <w:color w:val="auto"/>
        </w:rPr>
        <w:t>Interest will cease to accrue on a note upon its maturity, cancellation, redemption or purchase by us at the holder’s option upon a Change of Control Triggering Event. We may not reissue a note that has matured, been redeemed, been purchased by us at the holder’s option upon a Change of Control Triggering Event or otherwise been cancelled, except for registration of transfer, exchange or replacement of such note.</w:t>
      </w:r>
    </w:p>
    <w:p>
      <w:pPr>
        <w:spacing w:after="0" w:line="102" w:lineRule="exact"/>
        <w:rPr>
          <w:sz w:val="20"/>
          <w:szCs w:val="20"/>
          <w:color w:val="auto"/>
        </w:rPr>
      </w:pPr>
    </w:p>
    <w:p>
      <w:pPr>
        <w:ind w:left="1140" w:right="1259" w:firstLine="294"/>
        <w:spacing w:after="0" w:line="255" w:lineRule="auto"/>
        <w:rPr>
          <w:sz w:val="20"/>
          <w:szCs w:val="20"/>
          <w:color w:val="auto"/>
        </w:rPr>
      </w:pPr>
      <w:r>
        <w:rPr>
          <w:rFonts w:ascii="Times New Roman" w:cs="Times New Roman" w:eastAsia="Times New Roman" w:hAnsi="Times New Roman"/>
          <w:sz w:val="15"/>
          <w:szCs w:val="15"/>
          <w:color w:val="auto"/>
        </w:rPr>
        <w:t>The indenture does not limit the aggregate principal amount of debt securities that may be issued thereunder and provides that debt securities may be issued thereunder from time to time in one or more additional series. The indenture contains no covenants or other provisions to afford protection to holders of notes in the event of a highly leveraged transaction or a change in control except to the extent described under “— Certain Covenants — Offer to Repurchase Upon a Change of Control Triggering Event,”</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Certain Covenants — Limitations on Liens” and “— Merger and Sales of Assets.”</w:t>
      </w:r>
    </w:p>
    <w:p>
      <w:pPr>
        <w:spacing w:after="0" w:line="122" w:lineRule="exact"/>
        <w:rPr>
          <w:sz w:val="20"/>
          <w:szCs w:val="20"/>
          <w:color w:val="auto"/>
        </w:rPr>
      </w:pPr>
    </w:p>
    <w:p>
      <w:pPr>
        <w:ind w:left="1140" w:right="1319" w:firstLine="294"/>
        <w:spacing w:after="0" w:line="263" w:lineRule="auto"/>
        <w:rPr>
          <w:sz w:val="20"/>
          <w:szCs w:val="20"/>
          <w:color w:val="auto"/>
        </w:rPr>
      </w:pPr>
      <w:r>
        <w:rPr>
          <w:rFonts w:ascii="Times New Roman" w:cs="Times New Roman" w:eastAsia="Times New Roman" w:hAnsi="Times New Roman"/>
          <w:sz w:val="15"/>
          <w:szCs w:val="15"/>
          <w:color w:val="auto"/>
        </w:rPr>
        <w:t>The notes will be issued in the form of one or more global notes deposited with a custodian for DTC, and beneficial interests in the global notes will be shown on DTC’s book-entry records. See “— Form and Settlement; Book-Entry System.” The notes will be issued in minimum denominations of $2,000 or an integral multiple of $1,000 in excess thereof. The notes will not be listed on any national securities exchange.</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Further Issuances</w:t>
      </w:r>
    </w:p>
    <w:p>
      <w:pPr>
        <w:spacing w:after="0" w:line="117"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We may, from time to time, without notice to or the consent of the holders of the notes, increase the principal amount of this series of notes under the indenture and issue such increased principal amount (or any portion thereof), in which case any additional notes so issued will have the same form and terms (other than the date of issuance, public offering price and, under certain circumstances, the date from which interest thereon will begin to accrue), and will carry the same right to receive accrued and unpaid interest, as the notes previously issued, and such additional notes will form a single series with the notes.</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Note Guarantee</w:t>
      </w:r>
    </w:p>
    <w:p>
      <w:pPr>
        <w:spacing w:after="0" w:line="128" w:lineRule="exact"/>
        <w:rPr>
          <w:sz w:val="20"/>
          <w:szCs w:val="20"/>
          <w:color w:val="auto"/>
        </w:rPr>
      </w:pPr>
    </w:p>
    <w:p>
      <w:pPr>
        <w:ind w:left="1140" w:right="1419" w:firstLine="294"/>
        <w:spacing w:after="0" w:line="252" w:lineRule="auto"/>
        <w:rPr>
          <w:sz w:val="20"/>
          <w:szCs w:val="20"/>
          <w:color w:val="auto"/>
        </w:rPr>
      </w:pPr>
      <w:r>
        <w:rPr>
          <w:rFonts w:ascii="Times New Roman" w:cs="Times New Roman" w:eastAsia="Times New Roman" w:hAnsi="Times New Roman"/>
          <w:sz w:val="15"/>
          <w:szCs w:val="15"/>
          <w:color w:val="auto"/>
        </w:rPr>
        <w:t>The Guarantor will fully and unconditionally guarantee on a senior unsecured basis the due and punctual payment of the principal of (and premium, if any) and interest on each note, whether at Stated Maturity, upon redemption, upon acceleration, upon required repurchase at the option of the holder or otherwise according to the terms thereof and of the indenture and all other obligations of UAL under the indenture and the notes.</w:t>
      </w:r>
    </w:p>
    <w:p>
      <w:pPr>
        <w:spacing w:after="0" w:line="99"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There is a risk that the note guarantee is voidable under applicable law relating to fraudulent transfer or conveyance or similar laws affecting the rights of creditors generally. See “Risk Factors — Risk Factors Relating to the Notes — Federal and state statutes allow courts, under specific circumstances, to void guarantees and require note holders to return payments received from guarantors.” The indenture provides that, in the event that the Guarantor Obligations under the note guarantee would constitute such a fraudulent transfer or conveyance or violation of similar laws, then the liability of the Guarantor under the note guarantee will be reduced to the extent necessary to eliminate such fraudulent transfer or conveyance or violation.</w:t>
      </w:r>
    </w:p>
    <w:p>
      <w:pPr>
        <w:spacing w:after="0" w:line="271" w:lineRule="exact"/>
        <w:rPr>
          <w:sz w:val="20"/>
          <w:szCs w:val="20"/>
          <w:color w:val="auto"/>
        </w:r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The Guarantor will be released from all obligations under its note guarantee upon the legal defeasance of the notes in accordance with the terms of the indenture. See “— Satisfaction and Discharge of the Indenture; Defeasance.”</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Ranking of the Notes and the Note Guarantee</w:t>
      </w:r>
    </w:p>
    <w:p>
      <w:pPr>
        <w:spacing w:after="0" w:line="128"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The notes will represent our senior unsecured obligations, and the note guarantee will represent the senior unsecured obligation of the Guarantor. The notes and the note guarantee rank equally in right of payment with all of our and the Guarantor’s existing and future unsecured and unsubordinated debt. However, the notes and the note guarantee will be effectively subordinated to all of our existing and future secured indebtedness to the extent of the collateral securing such debt and structurally subordinated to all existing and future obligations of UAL’s subsidiaries other than the Guarantor.</w:t>
      </w:r>
    </w:p>
    <w:p>
      <w:pPr>
        <w:spacing w:after="0" w:line="1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As of September 30, 2025, assuming that as of such date, (i) the notes had been issued and (ii) the 2031</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Notes had been issued:</w:t>
      </w:r>
    </w:p>
    <w:p>
      <w:pPr>
        <w:spacing w:after="0" w:line="78" w:lineRule="exact"/>
        <w:rPr>
          <w:sz w:val="20"/>
          <w:szCs w:val="20"/>
          <w:color w:val="auto"/>
        </w:rPr>
      </w:pPr>
    </w:p>
    <w:p>
      <w:pPr>
        <w:ind w:left="1580" w:right="1399" w:hanging="138"/>
        <w:spacing w:after="0" w:line="271"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would have had approximately $5.3 billion of long-term debt (including current maturities), none of which was secured;</w:t>
      </w:r>
    </w:p>
    <w:p>
      <w:pPr>
        <w:spacing w:after="0" w:line="52" w:lineRule="exact"/>
        <w:rPr>
          <w:rFonts w:ascii="Times New Roman" w:cs="Times New Roman" w:eastAsia="Times New Roman" w:hAnsi="Times New Roman"/>
          <w:sz w:val="15"/>
          <w:szCs w:val="15"/>
          <w:color w:val="auto"/>
        </w:rPr>
      </w:pPr>
    </w:p>
    <w:p>
      <w:pPr>
        <w:ind w:left="1580" w:right="1159" w:hanging="138"/>
        <w:spacing w:after="0" w:line="254"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and its subsidiaries would have had approximately $27.4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w:t>
      </w:r>
    </w:p>
    <w:p>
      <w:pPr>
        <w:spacing w:after="0" w:line="64"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had entered into guarantees for approximately $2.9 billion aggregate principal amount of tax-exempt special facilities revenue bonds and related interest.</w:t>
      </w:r>
    </w:p>
    <w:p>
      <w:pPr>
        <w:spacing w:after="0" w:line="85" w:lineRule="exact"/>
        <w:rPr>
          <w:sz w:val="20"/>
          <w:szCs w:val="20"/>
          <w:color w:val="auto"/>
        </w:rPr>
      </w:pPr>
    </w:p>
    <w:p>
      <w:pPr>
        <w:ind w:left="1140" w:right="1259" w:firstLine="294"/>
        <w:spacing w:after="0" w:line="249" w:lineRule="auto"/>
        <w:rPr>
          <w:sz w:val="20"/>
          <w:szCs w:val="20"/>
          <w:color w:val="auto"/>
        </w:rPr>
      </w:pPr>
      <w:r>
        <w:rPr>
          <w:rFonts w:ascii="Times New Roman" w:cs="Times New Roman" w:eastAsia="Times New Roman" w:hAnsi="Times New Roman"/>
          <w:sz w:val="15"/>
          <w:szCs w:val="15"/>
          <w:color w:val="auto"/>
        </w:rPr>
        <w:t>In the event of any distribution of our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our and the Guarantor’s other general creditors, based upon the respective amounts owed to each holder or creditor, in our and the Guarantor’s remaining assets. In any of the foregoing events, we cannot assure you that there will be sufficient assets to pay amounts due on the notes. As a result, holders of notes may receive less, ratably, than holders of secured indebtedness.</w:t>
      </w:r>
    </w:p>
    <w:p>
      <w:pPr>
        <w:spacing w:after="0" w:line="92"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Holders of the notes will be creditors of only UAL and United for purposes of the notes and the note guarantee and not our other subsidiaries. The ability of our creditors, including you, to participate in any distribution of assets of any of our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our non-Guarantor subsidiaries. See “Risk Factors — Risk Factors</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79"/>
        <w:spacing w:after="0" w:line="251" w:lineRule="auto"/>
        <w:rPr>
          <w:sz w:val="20"/>
          <w:szCs w:val="20"/>
          <w:color w:val="auto"/>
        </w:rPr>
      </w:pPr>
      <w:r>
        <w:rPr>
          <w:rFonts w:ascii="Times New Roman" w:cs="Times New Roman" w:eastAsia="Times New Roman" w:hAnsi="Times New Roman"/>
          <w:sz w:val="15"/>
          <w:szCs w:val="15"/>
          <w:color w:val="auto"/>
        </w:rPr>
        <w:t>Relating to the Notes — The notes and the note guarantee are unsecured and effectively subordinated to UAL’s and the Guarantor’s secured debt and structurally subordinated to all obligations of UAL’s subsidiaries other than the Guarantor.”</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Sinking Fund</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notes will not be entitled to the benefit of any sinking fund.</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Optional Redemption</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We will have the right to redeem the notes, in whole or in part at any time.</w:t>
      </w:r>
    </w:p>
    <w:p>
      <w:pPr>
        <w:spacing w:after="0" w:line="115"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Prior to December 1, 2028 (the “Par Call Date”), we may redeem the notes at our option, in whole or in part, at any time and from time to time, at a redemption price equal to the greater of:</w:t>
      </w:r>
    </w:p>
    <w:p>
      <w:pPr>
        <w:spacing w:after="0" w:line="74" w:lineRule="exact"/>
        <w:rPr>
          <w:sz w:val="20"/>
          <w:szCs w:val="20"/>
          <w:color w:val="auto"/>
        </w:rPr>
      </w:pPr>
    </w:p>
    <w:p>
      <w:pPr>
        <w:ind w:left="1740" w:hanging="298"/>
        <w:spacing w:after="0"/>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the principal amount of the notes to be redeemed, and</w:t>
      </w:r>
    </w:p>
    <w:p>
      <w:pPr>
        <w:spacing w:after="0" w:line="114" w:lineRule="exact"/>
        <w:rPr>
          <w:rFonts w:ascii="Times New Roman" w:cs="Times New Roman" w:eastAsia="Times New Roman" w:hAnsi="Times New Roman"/>
          <w:sz w:val="15"/>
          <w:szCs w:val="15"/>
          <w:color w:val="auto"/>
        </w:rPr>
      </w:pPr>
    </w:p>
    <w:p>
      <w:pPr>
        <w:ind w:left="1140" w:right="1379" w:firstLine="302"/>
        <w:spacing w:after="0" w:line="244" w:lineRule="auto"/>
        <w:tabs>
          <w:tab w:leader="none" w:pos="173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w:t>
      </w:r>
    </w:p>
    <w:p>
      <w:pPr>
        <w:spacing w:after="0" w:line="93"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plus, in either case, accrued and unpaid interest on the principal amount being redeemed, if any, up to, but not including such redemption date.</w:t>
      </w:r>
    </w:p>
    <w:p>
      <w:pPr>
        <w:spacing w:after="0" w:line="74"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On or after the Par Call Date, we may redeem such notes, in whole or in part, at any time and from time to time, at a redemption price equal to 100% of the principal amount of the notes being redeemed, plus accrued and unpaid interest thereon to, but not including, the redemption date. The indenture will provide that with respect to any redemption we will notify the Trustee of the redemption price.</w:t>
      </w:r>
    </w:p>
    <w:p>
      <w:pPr>
        <w:spacing w:after="0" w:line="82" w:lineRule="exact"/>
        <w:rPr>
          <w:sz w:val="20"/>
          <w:szCs w:val="20"/>
          <w:color w:val="auto"/>
        </w:rPr>
      </w:pPr>
    </w:p>
    <w:p>
      <w:pPr>
        <w:ind w:left="1140" w:right="1759" w:firstLine="294"/>
        <w:spacing w:after="0" w:line="271" w:lineRule="auto"/>
        <w:rPr>
          <w:sz w:val="20"/>
          <w:szCs w:val="20"/>
          <w:color w:val="auto"/>
        </w:rPr>
      </w:pPr>
      <w:r>
        <w:rPr>
          <w:rFonts w:ascii="Times New Roman" w:cs="Times New Roman" w:eastAsia="Times New Roman" w:hAnsi="Times New Roman"/>
          <w:sz w:val="15"/>
          <w:szCs w:val="15"/>
          <w:color w:val="auto"/>
        </w:rPr>
        <w:t>For purposes of determining the redemption price, “Treasury Rate” means, with respect to any redemption date, the yield determined by us in accordance with the following two paragraphs.</w:t>
      </w:r>
    </w:p>
    <w:p>
      <w:pPr>
        <w:spacing w:after="0" w:line="74"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93"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If for any of such five business days immediately preceding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9" w:lineRule="auto"/>
        <w:rPr>
          <w:sz w:val="20"/>
          <w:szCs w:val="20"/>
          <w:color w:val="auto"/>
        </w:rPr>
      </w:pPr>
      <w:r>
        <w:rPr>
          <w:rFonts w:ascii="Times New Roman" w:cs="Times New Roman" w:eastAsia="Times New Roman" w:hAnsi="Times New Roman"/>
          <w:sz w:val="15"/>
          <w:szCs w:val="15"/>
          <w:color w:val="auto"/>
        </w:rPr>
        <w:t>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94" w:lineRule="exact"/>
        <w:rPr>
          <w:sz w:val="20"/>
          <w:szCs w:val="20"/>
          <w:color w:val="auto"/>
        </w:rPr>
      </w:pPr>
    </w:p>
    <w:p>
      <w:pPr>
        <w:ind w:left="1140" w:right="1179" w:firstLine="294"/>
        <w:spacing w:after="0" w:line="287" w:lineRule="auto"/>
        <w:rPr>
          <w:sz w:val="20"/>
          <w:szCs w:val="20"/>
          <w:color w:val="auto"/>
        </w:rPr>
      </w:pPr>
      <w:r>
        <w:rPr>
          <w:rFonts w:ascii="Times New Roman" w:cs="Times New Roman" w:eastAsia="Times New Roman" w:hAnsi="Times New Roman"/>
          <w:sz w:val="15"/>
          <w:szCs w:val="15"/>
          <w:color w:val="auto"/>
        </w:rPr>
        <w:t>Our actions and determinations in determining the redemption price shall be conclusive and binding for all purposes, absent manifest error.</w:t>
      </w:r>
    </w:p>
    <w:p>
      <w:pPr>
        <w:spacing w:after="0" w:line="73" w:lineRule="exact"/>
        <w:rPr>
          <w:sz w:val="20"/>
          <w:szCs w:val="20"/>
          <w:color w:val="auto"/>
        </w:rPr>
      </w:pPr>
    </w:p>
    <w:p>
      <w:pPr>
        <w:ind w:left="1140" w:right="1159" w:firstLine="294"/>
        <w:spacing w:after="0" w:line="257" w:lineRule="auto"/>
        <w:rPr>
          <w:sz w:val="20"/>
          <w:szCs w:val="20"/>
          <w:color w:val="auto"/>
        </w:rPr>
      </w:pPr>
      <w:r>
        <w:rPr>
          <w:rFonts w:ascii="Times New Roman" w:cs="Times New Roman" w:eastAsia="Times New Roman" w:hAnsi="Times New Roman"/>
          <w:sz w:val="15"/>
          <w:szCs w:val="15"/>
          <w:color w:val="auto"/>
        </w:rPr>
        <w:t>Any such redemption may, at our discretion, be subject to the satisfaction or waiver of one or more conditions, including the occurrence of a Change of Control or the closing of another transaction, including a sale of securities or other financing. If such redemption is subject to satisfaction or waiver of one or more conditions, such notice shall state that, in our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 A notice of conditional redemption will be of no effect unless all conditions to the redemption have occurred on or before the redemption date or have been waived by us on or before the redemption date. We will provide notice of the satisfaction of all conditions as soon as practicable following occurrence of the conditions. We will provide notice of any waiver of a condition or failure to meet such conditions no later than the redemption date. We will provide notice to the Trustee in no event less than one business day prior to the redemption date if any such redemption has been rescinded or delayed. Upon the Trustee’s receipt of such notice, (i) the notice of redemption shall be automatically rescinded and we will have no obligation to redeem the notes called for redemption or (ii) the redemption date shall automatically be delayed until the new redemption date specified in such notice, as applicable. Promptly after receipt of such notice but in no event less than one business day prior to the applicable redemption date, the Trustee shall provide a copy such notice to DTC to be given to each holder of notes in accordance with applicable DTC procedures.</w:t>
      </w:r>
    </w:p>
    <w:p>
      <w:pPr>
        <w:spacing w:after="0" w:line="109" w:lineRule="exact"/>
        <w:rPr>
          <w:sz w:val="20"/>
          <w:szCs w:val="20"/>
          <w:color w:val="auto"/>
        </w:rPr>
      </w:pPr>
    </w:p>
    <w:p>
      <w:pPr>
        <w:ind w:left="1140" w:right="1759" w:firstLine="294"/>
        <w:spacing w:after="0" w:line="271" w:lineRule="auto"/>
        <w:rPr>
          <w:sz w:val="20"/>
          <w:szCs w:val="20"/>
          <w:color w:val="auto"/>
        </w:rPr>
      </w:pPr>
      <w:r>
        <w:rPr>
          <w:rFonts w:ascii="Times New Roman" w:cs="Times New Roman" w:eastAsia="Times New Roman" w:hAnsi="Times New Roman"/>
          <w:sz w:val="15"/>
          <w:szCs w:val="15"/>
          <w:color w:val="auto"/>
        </w:rPr>
        <w:t>In addition, we may at any time purchase the notes by tender, in the open market or by private agreement, subject to applicable law.</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Redemption Procedures</w:t>
      </w:r>
    </w:p>
    <w:p>
      <w:pPr>
        <w:spacing w:after="0" w:line="128"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color w:val="auto"/>
        </w:rPr>
        <w:t>We will provide not less than 10 nor more than 60 days’ notice sent to each registered holder of the notes to be redeemed. If the redemption notice is given and funds deposited as required, then interest will cease to accrue on and after the redemption date on the notes or portions of such notes called for redemption. In the event that any redemption date is not a business day, we will pay the redemption price on the next business day with the same force and effect as if paid on the redemption date and without any interest or other payment due to the delay.</w:t>
      </w:r>
    </w:p>
    <w:p>
      <w:pPr>
        <w:spacing w:after="0" w:line="93"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color w:val="auto"/>
        </w:rPr>
        <w:t>If less than all of the outstanding notes are to be redeemed, subject to the DTC procedures for global notes, the trustee will select the notes to be redeemed in principal amounts of $2,000 or integral multiples of $1,000 in excess thereof. In this case, the trustee may select the notes by lot, pro rata or by any other method the trustee considers fair and appropriate and in accordance with methods generally used at the time of selection by fiduciaries in similar circumstances. The trustee will make the selection at least 10 days but no more than 60 days before the redemption date from outstanding notes not previously called for redemption.</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will contain, among other things, the following covenants:</w:t>
      </w:r>
    </w:p>
    <w:p>
      <w:pPr>
        <w:spacing w:after="0" w:line="1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Offer to Repurchase Upon a Change of Control Triggering Event</w:t>
      </w:r>
    </w:p>
    <w:p>
      <w:pPr>
        <w:spacing w:after="0" w:line="130"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Upon the occurrence of a Change of Control Triggering Event, unless we have otherwise exercised our right to redeem the notes, each holder of notes will have the right to require us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thereon, if any, to the date of purchase, subject to the rights of holders of notes on the relevant record date to receive interest due on the relevant interest payment date.</w:t>
      </w:r>
    </w:p>
    <w:p>
      <w:pPr>
        <w:spacing w:after="0" w:line="100"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 xml:space="preserve">Within 30 days following the date upon which the Change of Control Triggering Event occurred, unless we have otherwise exercised our right to redeem the notes, we will be required to deliver a notice to each holder of such notes, with a copy to the trustee, which notice will govern the terms of the Change of Control Offer;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at our option, we may deliver such notice prior to any Change of Control but after the public announcement of the Change of Control. Such notice will state, among other things, the purchase date, which must be no earlier than 30 days nor later than 60 days from the date such notice is sent, other than as may be required by law (the “Change of Control Payment Date”). The notice, if sent prior to the date of consummation of the Change of Control, will state that the Change of Control Offer is conditioned on the Change of Control Triggering Event occurring on or prior to the Change of Control Payment Date. Holders of notes electing to have notes purchased pursuant to a Change of Control Offer must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DTC, before the close of business on the third business day prior to the Change of Control Payment Date.</w:t>
      </w:r>
    </w:p>
    <w:p>
      <w:pPr>
        <w:spacing w:after="0" w:line="100" w:lineRule="exact"/>
        <w:rPr>
          <w:sz w:val="20"/>
          <w:szCs w:val="20"/>
          <w:color w:val="auto"/>
        </w:rPr>
      </w:pPr>
    </w:p>
    <w:p>
      <w:pPr>
        <w:jc w:val="both"/>
        <w:ind w:left="1140" w:right="1339" w:firstLine="294"/>
        <w:spacing w:after="0" w:line="243" w:lineRule="auto"/>
        <w:rPr>
          <w:sz w:val="20"/>
          <w:szCs w:val="20"/>
          <w:color w:val="auto"/>
        </w:rPr>
      </w:pPr>
      <w:r>
        <w:rPr>
          <w:rFonts w:ascii="Times New Roman" w:cs="Times New Roman" w:eastAsia="Times New Roman" w:hAnsi="Times New Roman"/>
          <w:sz w:val="15"/>
          <w:szCs w:val="15"/>
          <w:color w:val="auto"/>
        </w:rPr>
        <w:t>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w:t>
      </w:r>
    </w:p>
    <w:p>
      <w:pPr>
        <w:spacing w:after="0" w:line="94"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If holders of not less than 90% in aggregate principal amount of the outstanding notes validly tender and do not withdraw the notes in a Change of Control Offer and we, or any third party making a Change of Control Offer in lieu of us, purchases all of such notes validly tendered and not withdrawn by such holders, we will have the right, upon not less than 20 nor more than 60 days’ prior notice, given not more than</w:t>
      </w:r>
    </w:p>
    <w:p>
      <w:pPr>
        <w:spacing w:after="0" w:line="2" w:lineRule="exact"/>
        <w:rPr>
          <w:sz w:val="20"/>
          <w:szCs w:val="20"/>
          <w:color w:val="auto"/>
        </w:rPr>
      </w:pPr>
    </w:p>
    <w:p>
      <w:pPr>
        <w:ind w:left="1140" w:right="1199"/>
        <w:spacing w:after="0"/>
        <w:rPr>
          <w:sz w:val="20"/>
          <w:szCs w:val="20"/>
          <w:color w:val="auto"/>
        </w:rPr>
      </w:pPr>
      <w:r>
        <w:rPr>
          <w:rFonts w:ascii="Times New Roman" w:cs="Times New Roman" w:eastAsia="Times New Roman" w:hAnsi="Times New Roman"/>
          <w:sz w:val="15"/>
          <w:szCs w:val="15"/>
          <w:color w:val="auto"/>
        </w:rPr>
        <w:t>30 days following such 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w:t>
      </w:r>
    </w:p>
    <w:p>
      <w:pPr>
        <w:spacing w:after="0" w:line="266"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will comply with the requirements of Rule 14e- 1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268" w:lineRule="exact"/>
        <w:rPr>
          <w:sz w:val="20"/>
          <w:szCs w:val="20"/>
          <w:color w:val="auto"/>
        </w:rPr>
      </w:pPr>
    </w:p>
    <w:p>
      <w:pPr>
        <w:ind w:left="1140" w:right="1159" w:firstLine="294"/>
        <w:spacing w:after="0" w:line="243" w:lineRule="auto"/>
        <w:rPr>
          <w:sz w:val="20"/>
          <w:szCs w:val="20"/>
          <w:color w:val="auto"/>
        </w:rPr>
      </w:pPr>
      <w:r>
        <w:rPr>
          <w:rFonts w:ascii="Times New Roman" w:cs="Times New Roman" w:eastAsia="Times New Roman" w:hAnsi="Times New Roman"/>
          <w:sz w:val="15"/>
          <w:szCs w:val="15"/>
          <w:color w:val="auto"/>
        </w:rPr>
        <w:t>Except as described above with respect to a Change of Control Triggering Event, the indenture does not and the notes will not contain any other provisions that permit the holders of the notes to require us to repurchase or redeem the notes in the event of a takeover, recapitalization, or similar transaction.</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Limitation on Liens</w:t>
      </w:r>
    </w:p>
    <w:p>
      <w:pPr>
        <w:spacing w:after="0" w:line="119" w:lineRule="exact"/>
        <w:rPr>
          <w:sz w:val="20"/>
          <w:szCs w:val="20"/>
          <w:color w:val="auto"/>
        </w:rPr>
      </w:pPr>
    </w:p>
    <w:p>
      <w:pPr>
        <w:ind w:left="1140" w:right="1559" w:firstLine="294"/>
        <w:spacing w:after="0" w:line="244" w:lineRule="auto"/>
        <w:rPr>
          <w:sz w:val="20"/>
          <w:szCs w:val="20"/>
          <w:color w:val="auto"/>
        </w:rPr>
      </w:pPr>
      <w:r>
        <w:rPr>
          <w:rFonts w:ascii="Times New Roman" w:cs="Times New Roman" w:eastAsia="Times New Roman" w:hAnsi="Times New Roman"/>
          <w:sz w:val="15"/>
          <w:szCs w:val="15"/>
          <w:color w:val="auto"/>
        </w:rPr>
        <w:t>UAL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39"/>
        <w:spacing w:after="0" w:line="264" w:lineRule="auto"/>
        <w:rPr>
          <w:sz w:val="20"/>
          <w:szCs w:val="20"/>
          <w:color w:val="auto"/>
        </w:rPr>
      </w:pPr>
      <w:r>
        <w:rPr>
          <w:rFonts w:ascii="Times New Roman" w:cs="Times New Roman" w:eastAsia="Times New Roman" w:hAnsi="Times New Roman"/>
          <w:sz w:val="15"/>
          <w:szCs w:val="15"/>
          <w:color w:val="auto"/>
        </w:rPr>
        <w:t xml:space="preserve">so long as any such Indebtedness or Capital Lease shall be so secured, and UAL covenants that if and when any such Lien is created, the notes will be so secured thereby;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foregoing shall not apply to:</w:t>
      </w:r>
    </w:p>
    <w:p>
      <w:pPr>
        <w:spacing w:after="0" w:line="272" w:lineRule="exact"/>
        <w:rPr>
          <w:sz w:val="20"/>
          <w:szCs w:val="20"/>
          <w:color w:val="auto"/>
        </w:rPr>
      </w:pPr>
    </w:p>
    <w:p>
      <w:pPr>
        <w:ind w:left="1440" w:right="1239" w:firstLine="297"/>
        <w:spacing w:after="0" w:line="253" w:lineRule="auto"/>
        <w:tabs>
          <w:tab w:leader="none" w:pos="2026"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Liens on Covered Property outstanding on the Closing Date securing Indebtedness or Capital Leases outstanding on the Closing Date (and as in effect on the Closing Date) and (ii) Liens on Covered Property (including cure collateral) incurred after the Closing Date pursuant to the terms of any Indebtedness or Capital Leases outstanding on the Closing Date (and as in effect on the Closing Date);</w:t>
      </w:r>
    </w:p>
    <w:p>
      <w:pPr>
        <w:spacing w:after="0" w:line="277" w:lineRule="exact"/>
        <w:rPr>
          <w:rFonts w:ascii="Times New Roman" w:cs="Times New Roman" w:eastAsia="Times New Roman" w:hAnsi="Times New Roman"/>
          <w:sz w:val="15"/>
          <w:szCs w:val="15"/>
          <w:color w:val="auto"/>
        </w:rPr>
      </w:pPr>
    </w:p>
    <w:p>
      <w:pPr>
        <w:ind w:left="1440" w:right="1219" w:firstLine="297"/>
        <w:spacing w:after="0" w:line="248" w:lineRule="auto"/>
        <w:tabs>
          <w:tab w:leader="none" w:pos="203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Lien on any Covered Property (i) existing at the time of acquisition of such Covered Property or the entity owning such Covered Property (including acquisition through merger or consolidation), or (ii) given to secure the payment of all or any part of the purchase, lease or acquisition thereof or the cost of construction, repair, refurbishment, modification or improvement of Covered Property or any real or personal property leased to UAL or any of its Subsidiaries or any Indebtedness or Capital Lease incurred prior thereto, at the time of, or within 180 days after, the completion of the acquisition, construction, repair, refurbishment, modification or improvement of the relevant Covered Property or any real or personal property leased to UAL or any of its Subsidiaries for the purpose of financing all or part of the purchase, lease or acquisition thereof or the cost of construction, repair, refurbishment, modification or improvement;</w:t>
      </w:r>
    </w:p>
    <w:p>
      <w:pPr>
        <w:spacing w:after="0" w:line="94" w:lineRule="exact"/>
        <w:rPr>
          <w:rFonts w:ascii="Times New Roman" w:cs="Times New Roman" w:eastAsia="Times New Roman" w:hAnsi="Times New Roman"/>
          <w:sz w:val="15"/>
          <w:szCs w:val="15"/>
          <w:color w:val="auto"/>
        </w:rPr>
      </w:pPr>
    </w:p>
    <w:p>
      <w:pPr>
        <w:ind w:left="1440" w:right="1179" w:firstLine="297"/>
        <w:spacing w:after="0" w:line="271" w:lineRule="auto"/>
        <w:tabs>
          <w:tab w:leader="none" w:pos="2026"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by a UAL Subsidiary as security for Indebtedness or Capital Lease owed to UAL or any UAL Subsidiary;</w:t>
      </w:r>
    </w:p>
    <w:p>
      <w:pPr>
        <w:spacing w:after="0" w:line="85" w:lineRule="exact"/>
        <w:rPr>
          <w:rFonts w:ascii="Times New Roman" w:cs="Times New Roman" w:eastAsia="Times New Roman" w:hAnsi="Times New Roman"/>
          <w:sz w:val="15"/>
          <w:szCs w:val="15"/>
          <w:color w:val="auto"/>
        </w:rPr>
      </w:pPr>
    </w:p>
    <w:p>
      <w:pPr>
        <w:ind w:left="1440" w:right="1319" w:firstLine="297"/>
        <w:spacing w:after="0" w:line="254" w:lineRule="auto"/>
        <w:tabs>
          <w:tab w:leader="none" w:pos="203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banker’s lien or right of offset of the holder of such Indebtedness in favor of any lender of moneys or holder of commercial paper of UAL or any UAL Subsidiary in the ordinary course of business on moneys of UAL or such UAL Subsidiary deposited with such lender or holder in the ordinary course of business;</w:t>
      </w:r>
    </w:p>
    <w:p>
      <w:pPr>
        <w:spacing w:after="0" w:line="97" w:lineRule="exact"/>
        <w:rPr>
          <w:rFonts w:ascii="Times New Roman" w:cs="Times New Roman" w:eastAsia="Times New Roman" w:hAnsi="Times New Roman"/>
          <w:sz w:val="15"/>
          <w:szCs w:val="15"/>
          <w:color w:val="auto"/>
        </w:rPr>
      </w:pPr>
    </w:p>
    <w:p>
      <w:pPr>
        <w:ind w:left="1440" w:right="1399" w:firstLine="297"/>
        <w:spacing w:after="0" w:line="271" w:lineRule="auto"/>
        <w:tabs>
          <w:tab w:leader="none" w:pos="2026"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in favor of credit card processors securing obligations in connection with credit card processing services incurred in the ordinary course of business and consistent with past practices;</w:t>
      </w:r>
    </w:p>
    <w:p>
      <w:pPr>
        <w:spacing w:after="0" w:line="74" w:lineRule="exact"/>
        <w:rPr>
          <w:rFonts w:ascii="Times New Roman" w:cs="Times New Roman" w:eastAsia="Times New Roman" w:hAnsi="Times New Roman"/>
          <w:sz w:val="15"/>
          <w:szCs w:val="15"/>
          <w:color w:val="auto"/>
        </w:rPr>
      </w:pPr>
    </w:p>
    <w:p>
      <w:pPr>
        <w:jc w:val="both"/>
        <w:ind w:left="1440" w:right="1299" w:firstLine="297"/>
        <w:spacing w:after="0" w:line="254" w:lineRule="auto"/>
        <w:tabs>
          <w:tab w:leader="none" w:pos="200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extension, renewal or replacement (or successive extensions, renewals or replacements), in whole or in part, of any Lien referred to in the foregoing clauses (a) through (e) in connection with the refinancing, amendment, restructuring or other modification of Indebtedness or Capital Lease of UAL and its Subsidiaries secured by such Lien; and</w:t>
      </w:r>
    </w:p>
    <w:p>
      <w:pPr>
        <w:spacing w:after="0" w:line="97" w:lineRule="exact"/>
        <w:rPr>
          <w:rFonts w:ascii="Times New Roman" w:cs="Times New Roman" w:eastAsia="Times New Roman" w:hAnsi="Times New Roman"/>
          <w:sz w:val="15"/>
          <w:szCs w:val="15"/>
          <w:color w:val="auto"/>
        </w:rPr>
      </w:pPr>
    </w:p>
    <w:p>
      <w:pPr>
        <w:ind w:left="1440" w:right="1199" w:firstLine="297"/>
        <w:spacing w:after="0" w:line="250" w:lineRule="auto"/>
        <w:tabs>
          <w:tab w:leader="none" w:pos="203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Liens not permitted by any of the foregoing clauses (a) through (f) on any Covered Property, now owned or hereafter acquired; provided, that, no such Liens shall be incurred pursuant to this subsection (g) if the aggregate principal amount of outstanding Indebtedness (without duplication for any guarantee of such Indebtedness) and Capital Leases secured by Liens incurred pursuant to this subsection (g) subsequent to the Closing Date, including the Lien proposed to be incurred, shall exceed 10% of Consolidated Tangible Assets after giving effect to such incurrence and the use of proceeds of such Indebtedness or Capital Leases.</w:t>
      </w:r>
    </w:p>
    <w:p>
      <w:pPr>
        <w:spacing w:after="0" w:line="100" w:lineRule="exact"/>
        <w:rPr>
          <w:sz w:val="20"/>
          <w:szCs w:val="20"/>
          <w:color w:val="auto"/>
        </w:rPr>
      </w:pPr>
    </w:p>
    <w:p>
      <w:pPr>
        <w:jc w:val="both"/>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Any Lien that is granted to secure the notes shall be automatically released and discharged at the same time as the release (other than through the exercise of remedies with respect thereto) of each Lien that gave rise to such obligation to secure the notes.</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SEC Reports</w:t>
      </w:r>
    </w:p>
    <w:p>
      <w:pPr>
        <w:spacing w:after="0" w:line="119"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UAL will file with the Trustee within 30 days after it files them with the SEC, copies of its annual report and the information, documents and other reports (or copies of such portions of any of the foregoing as the SEC may by rules and regulations prescribe) that UAL is required to file with the SEC pursuant to Sections 13 and 15(d) of the Exchange Act. Reports, information and documents filed by UAL with the SEC via the EDGAR system will be deemed to have been furnished to the Trustee as of the time such documents are filed via EDGAR. The Trustee shall have no duty to review or analyze reports delivered to it.</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Merger and Sales of Assets</w:t>
      </w:r>
    </w:p>
    <w:p>
      <w:pPr>
        <w:spacing w:after="0" w:line="128"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The indenture provides that UAL and the Guarantor will not consolidate with or merge into, or convey, transfer or lease all or substantially all our or the Guarantor’s properties and assets to, any Person unless, among other items:</w:t>
      </w:r>
    </w:p>
    <w:p>
      <w:pPr>
        <w:spacing w:after="0" w:line="55" w:lineRule="exact"/>
        <w:rPr>
          <w:sz w:val="20"/>
          <w:szCs w:val="20"/>
          <w:color w:val="auto"/>
        </w:rPr>
      </w:pPr>
    </w:p>
    <w:p>
      <w:pPr>
        <w:ind w:left="1580" w:right="1179" w:hanging="138"/>
        <w:spacing w:after="0" w:line="254"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resulting, surviving or transferee Person is a corporation organized and existing under the laws of the United States of America, any state thereof or the District of Columbia, and expressly assumes by a supplemental indenture, all our obligations under the notes and the indenture (in the case of UAL) or the obligations under the note guarantee (in the case of the Guarantor); and</w:t>
      </w:r>
    </w:p>
    <w:p>
      <w:pPr>
        <w:spacing w:after="0" w:line="53"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such transaction, no Event of Default shall have occurred and be continuing.</w:t>
      </w:r>
    </w:p>
    <w:p>
      <w:pPr>
        <w:spacing w:after="0" w:line="85"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Any such successor will succeed to and be substituted for, and may exercise every right and power of, UAL or the Guarantor, whichever is party to such transaction, under the indenture, but the predecessor issuer, in the case of a lease of all or substantially all of its assets, shall not be released from the obligation to pay the principal of and interest on the notes.</w:t>
      </w:r>
    </w:p>
    <w:p>
      <w:pPr>
        <w:spacing w:after="0" w:line="93"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We will deliver, or cause to be delivered, to the Trustee an officers’ certificate and an opinion of counsel, each to the effect that such consolidation, merger, sale, conveyance, transfer or lease complies with the requirements of the indenture.</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An “Event of Default” occurs with respect to the notes if any of the following occurs:</w:t>
      </w:r>
    </w:p>
    <w:p>
      <w:pPr>
        <w:spacing w:after="0" w:line="115" w:lineRule="exact"/>
        <w:rPr>
          <w:sz w:val="20"/>
          <w:szCs w:val="20"/>
          <w:color w:val="auto"/>
        </w:rPr>
      </w:pPr>
    </w:p>
    <w:p>
      <w:pPr>
        <w:jc w:val="both"/>
        <w:ind w:left="1440" w:right="1239" w:firstLine="297"/>
        <w:spacing w:after="0" w:line="271" w:lineRule="auto"/>
        <w:tabs>
          <w:tab w:leader="none" w:pos="203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any payment of the principal amount or premium, if any, on any of the notes when such amount becomes due and payable at Stated Maturity, upon acceleration, redemption or otherwise;</w:t>
      </w:r>
    </w:p>
    <w:p>
      <w:pPr>
        <w:spacing w:after="0" w:line="74" w:lineRule="exact"/>
        <w:rPr>
          <w:rFonts w:ascii="Times New Roman" w:cs="Times New Roman" w:eastAsia="Times New Roman" w:hAnsi="Times New Roman"/>
          <w:sz w:val="15"/>
          <w:szCs w:val="15"/>
          <w:color w:val="auto"/>
        </w:rPr>
      </w:pPr>
    </w:p>
    <w:p>
      <w:pPr>
        <w:ind w:left="1440" w:right="1499" w:firstLine="297"/>
        <w:spacing w:after="0" w:line="256" w:lineRule="auto"/>
        <w:tabs>
          <w:tab w:leader="none" w:pos="203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interest on the notes when such interest becomes due and payable and such failure continues for a period of 30 days;</w:t>
      </w:r>
    </w:p>
    <w:p>
      <w:pPr>
        <w:spacing w:after="0" w:line="84" w:lineRule="exact"/>
        <w:rPr>
          <w:rFonts w:ascii="Times New Roman" w:cs="Times New Roman" w:eastAsia="Times New Roman" w:hAnsi="Times New Roman"/>
          <w:sz w:val="15"/>
          <w:szCs w:val="15"/>
          <w:color w:val="auto"/>
        </w:rPr>
      </w:pPr>
    </w:p>
    <w:p>
      <w:pPr>
        <w:jc w:val="both"/>
        <w:ind w:left="1440" w:right="1299" w:firstLine="297"/>
        <w:spacing w:after="0" w:line="251" w:lineRule="auto"/>
        <w:tabs>
          <w:tab w:leader="none" w:pos="203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UAL or the Guarantor to comply in any material respect with any other covenants or agreements applicable to the notes and such failure continues for 90 days after the notice specified below;</w:t>
      </w:r>
    </w:p>
    <w:p>
      <w:pPr>
        <w:spacing w:after="0" w:line="88" w:lineRule="exact"/>
        <w:rPr>
          <w:rFonts w:ascii="Times New Roman" w:cs="Times New Roman" w:eastAsia="Times New Roman" w:hAnsi="Times New Roman"/>
          <w:sz w:val="15"/>
          <w:szCs w:val="15"/>
          <w:color w:val="auto"/>
        </w:rPr>
      </w:pPr>
    </w:p>
    <w:p>
      <w:pPr>
        <w:ind w:left="1440" w:right="1279" w:firstLine="297"/>
        <w:spacing w:after="0" w:line="243" w:lineRule="auto"/>
        <w:tabs>
          <w:tab w:leader="none" w:pos="203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permitted by the indenture, the note guarantee is held in any judicial proceeding to be unenforceable or invalid or ceases for any reason to be in full force and effect, or the Guarantor denies or disaffirms in writing its obligations under the note guarantee; or</w:t>
      </w:r>
    </w:p>
    <w:p>
      <w:pPr>
        <w:spacing w:after="0" w:line="94" w:lineRule="exact"/>
        <w:rPr>
          <w:rFonts w:ascii="Times New Roman" w:cs="Times New Roman" w:eastAsia="Times New Roman" w:hAnsi="Times New Roman"/>
          <w:sz w:val="15"/>
          <w:szCs w:val="15"/>
          <w:color w:val="auto"/>
        </w:rPr>
      </w:pPr>
    </w:p>
    <w:p>
      <w:pPr>
        <w:ind w:left="1440" w:right="1239" w:firstLine="297"/>
        <w:spacing w:after="0" w:line="271" w:lineRule="auto"/>
        <w:tabs>
          <w:tab w:leader="none" w:pos="203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or insolvency described in the indenture with respect to UAL or the Guarantor.</w:t>
      </w:r>
    </w:p>
    <w:p>
      <w:pPr>
        <w:spacing w:after="0" w:line="74" w:lineRule="exact"/>
        <w:rPr>
          <w:sz w:val="20"/>
          <w:szCs w:val="20"/>
          <w:color w:val="auto"/>
        </w:rPr>
      </w:pPr>
    </w:p>
    <w:p>
      <w:pPr>
        <w:ind w:left="1140" w:right="1219" w:firstLine="294"/>
        <w:spacing w:after="0" w:line="243" w:lineRule="auto"/>
        <w:rPr>
          <w:sz w:val="20"/>
          <w:szCs w:val="20"/>
          <w:color w:val="auto"/>
        </w:rPr>
      </w:pPr>
      <w:r>
        <w:rPr>
          <w:rFonts w:ascii="Times New Roman" w:cs="Times New Roman" w:eastAsia="Times New Roman" w:hAnsi="Times New Roman"/>
          <w:sz w:val="15"/>
          <w:szCs w:val="15"/>
          <w:color w:val="auto"/>
        </w:rPr>
        <w:t>A Default under clause (3) above will not constitute an Event of Default until the Trustee notifies us or the holders of at least 25% in principal amount of the outstanding notes notify us and the Trustee of the Default and we do not cure such Default within 90 days after receipt of such notice.</w:t>
      </w:r>
    </w:p>
    <w:p>
      <w:pPr>
        <w:spacing w:after="0" w:line="94"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If an Event of Default (other than an Event of Default relating to certain events of bankruptcy, insolvency or reorganization with respect to UAL or the Guarantor) occurs and is continuing, the Trustee or the holders of at least 25% in principal amount of the notes then outstanding may, by written notice to us (and to the Trustee, if such notice is given by the holders of the notes), declare the principal amount of the notes and any accrued and unpaid interest on the notes to be due and payable. Upon such a declaration, such amounts shall be due and payable immediately. In the case of certain events of bankruptcy, insolvency or reorganization with respect to UAL or the Guarantor, the principal amount of and accrued and unpaid interest on the notes shall automatically become and be immediately due and payable without any declaration or other act on the part of the Trustee or any holder.</w:t>
      </w:r>
    </w:p>
    <w:p>
      <w:pPr>
        <w:spacing w:after="0" w:line="99" w:lineRule="exact"/>
        <w:rPr>
          <w:sz w:val="20"/>
          <w:szCs w:val="20"/>
          <w:color w:val="auto"/>
        </w:rPr>
      </w:pPr>
    </w:p>
    <w:p>
      <w:pPr>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If a Default with respect to the notes occurs and is continuing and is actually known to a trust officer of the Trustee, the Trustee will mail to each holder of the notes notice of the Default within 90 days after it occurs. Except in the case of a Default in the payment of principal of, premium, if any, or accrued and</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179"/>
        <w:spacing w:after="0" w:line="264" w:lineRule="auto"/>
        <w:rPr>
          <w:sz w:val="20"/>
          <w:szCs w:val="20"/>
          <w:color w:val="auto"/>
        </w:rPr>
      </w:pPr>
      <w:r>
        <w:rPr>
          <w:rFonts w:ascii="Times New Roman" w:cs="Times New Roman" w:eastAsia="Times New Roman" w:hAnsi="Times New Roman"/>
          <w:sz w:val="15"/>
          <w:szCs w:val="15"/>
          <w:color w:val="auto"/>
        </w:rPr>
        <w:t>unpaid interest on the notes, the Trustee may withhold the notice if and so long as a committee comprised of its trust officers in good faith determines that withholding such notice is in the interest of the holders of the notes.</w:t>
      </w:r>
    </w:p>
    <w:p>
      <w:pPr>
        <w:spacing w:after="0" w:line="272" w:lineRule="exact"/>
        <w:rPr>
          <w:sz w:val="20"/>
          <w:szCs w:val="20"/>
          <w:color w:val="auto"/>
        </w:rPr>
      </w:pPr>
    </w:p>
    <w:p>
      <w:pPr>
        <w:ind w:left="1140" w:right="1199" w:firstLine="294"/>
        <w:spacing w:after="0" w:line="256" w:lineRule="auto"/>
        <w:rPr>
          <w:sz w:val="20"/>
          <w:szCs w:val="20"/>
          <w:color w:val="auto"/>
        </w:rPr>
      </w:pPr>
      <w:r>
        <w:rPr>
          <w:rFonts w:ascii="Times New Roman" w:cs="Times New Roman" w:eastAsia="Times New Roman" w:hAnsi="Times New Roman"/>
          <w:sz w:val="15"/>
          <w:szCs w:val="15"/>
          <w:color w:val="auto"/>
        </w:rPr>
        <w:t>An Event of Default with respect to the notes will not necessarily be an event of default with respect to any other debt securities issued under the indenture, and an event of default with respect to another series of debt securities issued under the indenture will not necessarily be an Event of Default with respect to the notes.</w:t>
      </w:r>
    </w:p>
    <w:p>
      <w:pPr>
        <w:spacing w:after="0" w:line="276"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 xml:space="preserve">The indenture provides that the holders of a majority in principal amount of the outstanding notes may direct the time, method and place of conducting any proceeding for any remedy available to the Trustee for the notes, or exercising any trust or power conferred on the Trustee with respect to the notes. However, the Trustee may refuse to follow any direction that conflicts with law or the indenture or, subject to certain exceptions, that the Trustee determines is unduly prejudicial to the rights of any other holder of the notes or that would subject the Trustee to personal liability;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Trustee may take any other action deemed proper by the Trustee that is not inconsistent with such direction. Prior to taking any such action, the Trustee shall be entitled to indemnification satisfactory to it in its sole discretion against all losses and expenses caused by taking or not taking such action.</w:t>
      </w:r>
    </w:p>
    <w:p>
      <w:pPr>
        <w:spacing w:after="0" w:line="89" w:lineRule="exact"/>
        <w:rPr>
          <w:sz w:val="20"/>
          <w:szCs w:val="20"/>
          <w:color w:val="auto"/>
        </w:rPr>
      </w:pPr>
    </w:p>
    <w:p>
      <w:pPr>
        <w:ind w:left="1140" w:right="1319" w:firstLine="294"/>
        <w:spacing w:after="0" w:line="250" w:lineRule="auto"/>
        <w:rPr>
          <w:sz w:val="20"/>
          <w:szCs w:val="20"/>
          <w:color w:val="auto"/>
        </w:rPr>
      </w:pPr>
      <w:r>
        <w:rPr>
          <w:rFonts w:ascii="Times New Roman" w:cs="Times New Roman" w:eastAsia="Times New Roman" w:hAnsi="Times New Roman"/>
          <w:sz w:val="15"/>
          <w:szCs w:val="15"/>
          <w:color w:val="auto"/>
        </w:rPr>
        <w:t>By notice to the Trustee, the holders of a majority in aggregate principal amount of the notes then outstanding may waive an existing Default and its consequences except (i) a Default in the payment of the principal amount of, premium, if any, and accrued and unpaid interest on the notes, (ii) a Default arising from the failure to redeem or purchase any note when required pursuant to the terms of the indenture or</w:t>
      </w:r>
    </w:p>
    <w:p>
      <w:pPr>
        <w:spacing w:after="0" w:line="2" w:lineRule="exact"/>
        <w:rPr>
          <w:sz w:val="20"/>
          <w:szCs w:val="20"/>
          <w:color w:val="auto"/>
        </w:rPr>
      </w:pPr>
    </w:p>
    <w:p>
      <w:pPr>
        <w:ind w:left="1140" w:right="1239" w:firstLine="8"/>
        <w:spacing w:after="0" w:line="246" w:lineRule="auto"/>
        <w:tabs>
          <w:tab w:leader="none" w:pos="141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Default in respect of a provision that under the indenture cannot be amended without the consent of each holder of the notes affected. Further, the holders of a majority in principal amount of the notes by notice to the Trustee may rescind an acceleration of the notes and its consequences if the rescission would not conflict with any judgment or decree and if all existing Events of Default with respect to the notes have been cured or waived, except nonpayment of the principal amount of, and accrued and unpaid interest on, the notes that has become due solely because of acceleration.</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Modification of Indenture</w:t>
      </w:r>
    </w:p>
    <w:p>
      <w:pPr>
        <w:spacing w:after="0" w:line="17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Without Holder Consent</w:t>
      </w:r>
    </w:p>
    <w:p>
      <w:pPr>
        <w:spacing w:after="0" w:line="130" w:lineRule="exact"/>
        <w:rPr>
          <w:sz w:val="20"/>
          <w:szCs w:val="20"/>
          <w:color w:val="auto"/>
        </w:rPr>
      </w:pPr>
    </w:p>
    <w:p>
      <w:pPr>
        <w:ind w:left="1140" w:right="1219" w:firstLine="294"/>
        <w:spacing w:after="0" w:line="271" w:lineRule="auto"/>
        <w:rPr>
          <w:sz w:val="20"/>
          <w:szCs w:val="20"/>
          <w:color w:val="auto"/>
        </w:rPr>
      </w:pPr>
      <w:r>
        <w:rPr>
          <w:rFonts w:ascii="Times New Roman" w:cs="Times New Roman" w:eastAsia="Times New Roman" w:hAnsi="Times New Roman"/>
          <w:sz w:val="15"/>
          <w:szCs w:val="15"/>
          <w:color w:val="auto"/>
        </w:rPr>
        <w:t>Without notice to or the consent of any holders of notes, we, the Guarantor and the Trustee may amend the indenture as it applies to the notes:</w:t>
      </w:r>
    </w:p>
    <w:p>
      <w:pPr>
        <w:spacing w:after="0" w:line="52" w:lineRule="exact"/>
        <w:rPr>
          <w:sz w:val="20"/>
          <w:szCs w:val="20"/>
          <w:color w:val="auto"/>
        </w:rPr>
      </w:pPr>
    </w:p>
    <w:p>
      <w:pPr>
        <w:ind w:left="1580" w:right="1519" w:hanging="138"/>
        <w:spacing w:after="0" w:line="271"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us or the Guarantor pursuant to a consolidation, merger or conveyance, transfer or lease of assets permitted under the indenture;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right or power conferred upon us; or</w:t>
      </w:r>
    </w:p>
    <w:p>
      <w:pPr>
        <w:spacing w:after="0" w:line="92" w:lineRule="exact"/>
        <w:rPr>
          <w:rFonts w:ascii="Times New Roman" w:cs="Times New Roman" w:eastAsia="Times New Roman" w:hAnsi="Times New Roman"/>
          <w:sz w:val="15"/>
          <w:szCs w:val="15"/>
          <w:color w:val="auto"/>
        </w:rPr>
      </w:pPr>
    </w:p>
    <w:p>
      <w:pPr>
        <w:ind w:left="1580" w:right="1539" w:hanging="138"/>
        <w:spacing w:after="0" w:line="258"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such further covenants, restrictions, conditions or provisions for the protection of the holders of the notes, and to add any additional Events of Default for the notes, subject to certain limitations; or</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or correct or supplement any provision contained in the indenture, in any supplemental indenture, board resolution, officers’ certificate or in the notes that may be defective or inconsistent with any other provision contained therein; or</w:t>
      </w:r>
    </w:p>
    <w:p>
      <w:pPr>
        <w:spacing w:after="0" w:line="61" w:lineRule="exact"/>
        <w:rPr>
          <w:rFonts w:ascii="Times New Roman" w:cs="Times New Roman" w:eastAsia="Times New Roman" w:hAnsi="Times New Roman"/>
          <w:sz w:val="15"/>
          <w:szCs w:val="15"/>
          <w:color w:val="auto"/>
        </w:rPr>
      </w:pPr>
    </w:p>
    <w:p>
      <w:pPr>
        <w:jc w:val="both"/>
        <w:ind w:left="1580" w:right="1299" w:hanging="138"/>
        <w:spacing w:after="0" w:line="258"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any property to or with the Trustee, or to make such other provisions in regard to matters or questions arising under the indenture as shall not adversely affect the interests of any holders of notes; or</w:t>
      </w:r>
    </w:p>
    <w:p>
      <w:pPr>
        <w:spacing w:after="0" w:line="6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modify or amend the indenture in such a manner as to permit the qualification of the indenture or any supplemental indenture under the Trust Indenture Act as then in effect; or</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or change any provisions of the indenture to such extent as necessary to permit or facilitate the issuance of the notes in bearer or uncertificated form, provided that any such action shall not adversely affect the interests of the holders of notes in any material respect; or</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security for the notes; or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additional guarantees for the notes; or</w:t>
      </w:r>
    </w:p>
    <w:p>
      <w:pPr>
        <w:spacing w:after="0" w:line="9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notes in any material respect; or</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8" w:lineRule="auto"/>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of a separate or successor Trustee and to add to or change any of the provisions of the indenture as shall be necessary to provide for or facilitate the administration of the indenture by more than one Trustee.</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With Holder Consent</w:t>
      </w:r>
    </w:p>
    <w:p>
      <w:pPr>
        <w:spacing w:after="0" w:line="130" w:lineRule="exact"/>
        <w:rPr>
          <w:sz w:val="20"/>
          <w:szCs w:val="20"/>
          <w:color w:val="auto"/>
        </w:rPr>
      </w:pPr>
    </w:p>
    <w:p>
      <w:pPr>
        <w:jc w:val="both"/>
        <w:ind w:left="1140" w:right="1159" w:firstLine="294"/>
        <w:spacing w:after="0" w:line="243" w:lineRule="auto"/>
        <w:rPr>
          <w:sz w:val="20"/>
          <w:szCs w:val="20"/>
          <w:color w:val="auto"/>
        </w:rPr>
      </w:pPr>
      <w:r>
        <w:rPr>
          <w:rFonts w:ascii="Times New Roman" w:cs="Times New Roman" w:eastAsia="Times New Roman" w:hAnsi="Times New Roman"/>
          <w:sz w:val="15"/>
          <w:szCs w:val="15"/>
          <w:color w:val="auto"/>
        </w:rPr>
        <w:t>Except as provided above, the consent of the holders of a majority in aggregate principal amount of the notes is generally required to amend the indenture as it applies to the notes. However, without the consent of each holder of an affected note, an amendment may not:</w:t>
      </w:r>
    </w:p>
    <w:p>
      <w:pPr>
        <w:spacing w:after="0" w:line="61" w:lineRule="exact"/>
        <w:rPr>
          <w:sz w:val="20"/>
          <w:szCs w:val="20"/>
          <w:color w:val="auto"/>
        </w:rPr>
      </w:pPr>
    </w:p>
    <w:p>
      <w:pPr>
        <w:ind w:left="1580" w:right="11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the percentage of principal amount of notes the holders of which must consent to an amendment or waiver; or</w:t>
      </w:r>
    </w:p>
    <w:p>
      <w:pPr>
        <w:spacing w:after="0" w:line="5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premium, if any, or interest on, or extend the Stated Maturity or interest payment periods, of the notes;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notes of such holder payable in money or securities other than that as stated in the notes; or</w:t>
      </w:r>
    </w:p>
    <w:p>
      <w:pPr>
        <w:spacing w:after="0" w:line="92"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such holders’ right to require us to purchase the notes of such holder in accordance with the terms of the indenture; or</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such holder to institute suit for the enforcement of any payment with respect to the notes; or</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54"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referred to under “— Satisfaction and Discharge of the Indenture; Defeasance” or in connection with a consolidation, merger or conveyance, transfer or lease of assets pursuant to the indenture, release the Guarantor from its obligations under its note guarantee or make any change in the note guarantee that would adversely affect such holder; or</w:t>
      </w:r>
    </w:p>
    <w:p>
      <w:pPr>
        <w:spacing w:after="0" w:line="64"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certain requirements relating to waiving an existing Default or to the right to receive payment of, or bring suit to enforce payments of, the principal amount of, premium, if any, or interest on the notes; or</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any of the foregoing provisions of this sentence.</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Satisfaction and Discharge of the Indenture; Defeasance</w:t>
      </w:r>
    </w:p>
    <w:p>
      <w:pPr>
        <w:spacing w:after="0" w:line="128"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The indenture shall cease to be of any further effect with respect to the notes if either (a) UAL has delivered to the Trustee for cancellation all notes (with certain limited exceptions) or (b) all notes not theretofore delivered to the Trustee for cancellation shall have become due and payable, or are by their terms to become due and payable at their maturity within one year or are to be called for redemption within one year, and UAL shall have deposited with the Trustee as trust funds the amount sufficient to pay and discharge the entire indebtedness on such notes not theretofore delivered to the Trustee for cancellation, for principal (and premium, if any) and interest, if any, to the date of such deposit (in the case of notes which have become due and payable) or to the Stated Maturity or redemption date, as the case may be.</w:t>
      </w:r>
    </w:p>
    <w:p>
      <w:pPr>
        <w:spacing w:after="0" w:line="103"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In addition, UAL shall have a “legal defeasance option” ​(pursuant to which UAL may terminate, with respect to the notes, all of its obligations, except for certain obligations, under the notes and the indenture with respect to the notes and all obligations of the Guarantor under the note guarantee) and a “covenant defeasance option” ​(pursuant to which UAL may terminate, with respect to the notes, its obligations under the covenants described under “— Certain Covenants” above). If the legal defeasance option is exercised with respect to the notes, payment of the notes may not be accelerated because of an Event of Default. If the covenant defeasance option is exercised with respect to the notes, payment of the notes may not be accelerated because of an Event of Default related to the specified covenants.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In order to exercise either the legal defeasance option or the covenant defeasance option with respect to the notes:</w:t>
      </w:r>
    </w:p>
    <w:p>
      <w:pPr>
        <w:spacing w:after="0" w:line="52" w:lineRule="exact"/>
        <w:rPr>
          <w:sz w:val="20"/>
          <w:szCs w:val="20"/>
          <w:color w:val="auto"/>
        </w:rPr>
      </w:pPr>
    </w:p>
    <w:p>
      <w:pPr>
        <w:ind w:left="1580" w:right="1179" w:hanging="138"/>
        <w:spacing w:after="0" w:line="252"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must irrevocably deposit with the Trustee, in trust, for the benefit of the holders of the notes, cash, non-callable U.S. government securities, or a combination thereof, in such amounts as will be sufficient, in the opinion of a nationally recognized independent registered public accounting firm, to pay the principal of, premium, if any, and interest on the outstanding notes on the stated date for payment thereof or on the applicable redemption date, as the case may be;</w:t>
      </w:r>
    </w:p>
    <w:p>
      <w:pPr>
        <w:spacing w:after="0" w:line="54" w:lineRule="exact"/>
        <w:rPr>
          <w:rFonts w:ascii="Times New Roman" w:cs="Times New Roman" w:eastAsia="Times New Roman" w:hAnsi="Times New Roman"/>
          <w:sz w:val="15"/>
          <w:szCs w:val="15"/>
          <w:color w:val="auto"/>
        </w:rPr>
      </w:pPr>
    </w:p>
    <w:p>
      <w:pPr>
        <w:ind w:left="1580" w:right="1199" w:hanging="138"/>
        <w:spacing w:after="0" w:line="249"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of the legal defeasance option, UAL shall have delivered to the Trustee an opinion of counsel reasonably acceptable to the Trustee confirming that: (a) UAL has received from, or there has been published by, the Internal Revenue Service (the “IRS”)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8" w:lineRule="exact"/>
        <w:rPr>
          <w:rFonts w:ascii="Times New Roman" w:cs="Times New Roman" w:eastAsia="Times New Roman" w:hAnsi="Times New Roman"/>
          <w:sz w:val="15"/>
          <w:szCs w:val="15"/>
          <w:color w:val="auto"/>
        </w:rPr>
      </w:pPr>
    </w:p>
    <w:p>
      <w:pPr>
        <w:ind w:left="1580" w:right="1199" w:hanging="138"/>
        <w:spacing w:after="0" w:line="250"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of the covenant defeasance option, UAL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0"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Event of Default shall have occurred and be continuing either: (x) on the date of such deposit (other than an Event of Default resulting from the borrowing of funds to be applied to such deposit); or (y) insofar as certain bankruptcy, insolvency or reorganization Events of Default are concerned, at any time in the period ending on the 91st day after the date of deposit;</w:t>
      </w:r>
    </w:p>
    <w:p>
      <w:pPr>
        <w:spacing w:after="0" w:line="53"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legal defeasance or covenant defeasance shall not result in a breach or violation of, or constitute a default under, any material agreement or instrument (other than the indenture) to which UAL is a party or by which UAL is bound;</w:t>
      </w:r>
    </w:p>
    <w:p>
      <w:pPr>
        <w:spacing w:after="0" w:line="50"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shall have delivered to the Trustee an officers’ certificate stating that the deposit was not made by UAL with the intent of preferring the holders of the notes over any other creditors of UAL or with the intent of defeating, hindering, delaying or defrauding any other creditors of UAL or others; and</w:t>
      </w:r>
    </w:p>
    <w:p>
      <w:pPr>
        <w:spacing w:after="0" w:line="61" w:lineRule="exact"/>
        <w:rPr>
          <w:rFonts w:ascii="Times New Roman" w:cs="Times New Roman" w:eastAsia="Times New Roman" w:hAnsi="Times New Roman"/>
          <w:sz w:val="15"/>
          <w:szCs w:val="15"/>
          <w:color w:val="auto"/>
        </w:rPr>
      </w:pPr>
    </w:p>
    <w:p>
      <w:pPr>
        <w:ind w:left="1580" w:right="131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shall have delivered to the Trustee an officers’ certificate and an opinion of counsel, each stating that all conditions precedent provided for or relating to the legal defeasance or the covenant defeasance have been complied with.</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Registrar and Paying Agent</w:t>
      </w:r>
    </w:p>
    <w:p>
      <w:pPr>
        <w:spacing w:after="0" w:line="117"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The Trustee, acting through its corporate trust office, has been appointed the registrar and paying agent for the notes. Notes are transferable at the office of the registrar. Principal and interest will be payable at the office of the paying agent. We may, however, pay interest at our option by check mailed to registered holders of the notes or by wire transfer to an account of the Person entitled thereto as such account shall be provided to the registrar for the notes. Payments of principal of the notes will be made against surrender of the notes at the office of the Trustee (acting as paying agent) at our option by check payable to or upon the written order of the Person entitled thereto or by wire transfer to an account of the Person entitled thereto as such account shall be provided to the registrar for the notes. We may change the paying agent or registrar without prior notice to the holders of the notes.</w:t>
      </w:r>
    </w:p>
    <w:p>
      <w:pPr>
        <w:spacing w:after="0" w:line="99" w:lineRule="exact"/>
        <w:rPr>
          <w:sz w:val="20"/>
          <w:szCs w:val="20"/>
          <w:color w:val="auto"/>
        </w:rPr>
      </w:pPr>
    </w:p>
    <w:p>
      <w:pPr>
        <w:ind w:left="1140" w:right="1519" w:firstLine="294"/>
        <w:spacing w:after="0" w:line="256" w:lineRule="auto"/>
        <w:rPr>
          <w:sz w:val="20"/>
          <w:szCs w:val="20"/>
          <w:color w:val="auto"/>
        </w:rPr>
      </w:pPr>
      <w:r>
        <w:rPr>
          <w:rFonts w:ascii="Times New Roman" w:cs="Times New Roman" w:eastAsia="Times New Roman" w:hAnsi="Times New Roman"/>
          <w:sz w:val="15"/>
          <w:szCs w:val="15"/>
          <w:color w:val="auto"/>
        </w:rPr>
        <w:t>We may maintain banking relationships in the ordinary course of business with the Trustee and its affiliates.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28" w:lineRule="exact"/>
        <w:rPr>
          <w:sz w:val="20"/>
          <w:szCs w:val="20"/>
          <w:color w:val="auto"/>
        </w:rPr>
      </w:pPr>
    </w:p>
    <w:p>
      <w:pPr>
        <w:ind w:left="1140" w:right="1359" w:firstLine="294"/>
        <w:spacing w:after="0" w:line="256" w:lineRule="auto"/>
        <w:rPr>
          <w:sz w:val="20"/>
          <w:szCs w:val="20"/>
          <w:color w:val="auto"/>
        </w:rPr>
      </w:pPr>
      <w:r>
        <w:rPr>
          <w:rFonts w:ascii="Times New Roman" w:cs="Times New Roman" w:eastAsia="Times New Roman" w:hAnsi="Times New Roman"/>
          <w:sz w:val="15"/>
          <w:szCs w:val="15"/>
          <w:color w:val="auto"/>
        </w:rPr>
        <w:t>The indenture is, and the notes and note guarantee will be, governed by, and construed in accordance with, the laws of the State of New York.</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Form and Settlement; Book-Entry System</w:t>
      </w:r>
    </w:p>
    <w:p>
      <w:pPr>
        <w:spacing w:after="0" w:line="128" w:lineRule="exact"/>
        <w:rPr>
          <w:sz w:val="20"/>
          <w:szCs w:val="20"/>
          <w:color w:val="auto"/>
        </w:rPr>
      </w:pPr>
    </w:p>
    <w:p>
      <w:pPr>
        <w:ind w:left="1140" w:right="1559" w:firstLine="294"/>
        <w:spacing w:after="0" w:line="244" w:lineRule="auto"/>
        <w:rPr>
          <w:sz w:val="20"/>
          <w:szCs w:val="20"/>
          <w:color w:val="auto"/>
        </w:rPr>
      </w:pPr>
      <w:r>
        <w:rPr>
          <w:rFonts w:ascii="Times New Roman" w:cs="Times New Roman" w:eastAsia="Times New Roman" w:hAnsi="Times New Roman"/>
          <w:sz w:val="15"/>
          <w:szCs w:val="15"/>
          <w:color w:val="auto"/>
        </w:rPr>
        <w:t>The notes will be issued in the form of one or more fully registered global notes which will be deposited with, or on behalf of, DTC, as the depositary, and registered in the name of DTC’s nominee. Beneficial interests in the global notes will be represented through book-entry accounts of financial institutions acting on behalf of beneficial owners as direct and indirect participants in DTC.</w:t>
      </w:r>
    </w:p>
    <w:p>
      <w:pPr>
        <w:spacing w:after="0" w:line="93"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Except under circumstances described below, the notes will not be issuable in definitive form. The laws of some states require that certain purchasers of securities take physical delivery of their securities in definitive form. These limits and laws may impair the ability to transfer beneficial interests in the global notes.</w:t>
      </w:r>
    </w:p>
    <w:p>
      <w:pPr>
        <w:spacing w:after="0" w:line="269" w:lineRule="exact"/>
        <w:rPr>
          <w:sz w:val="20"/>
          <w:szCs w:val="20"/>
          <w:color w:val="auto"/>
        </w:rPr>
      </w:pPr>
    </w:p>
    <w:p>
      <w:pPr>
        <w:ind w:left="1140" w:right="1159" w:firstLine="294"/>
        <w:spacing w:after="0" w:line="241" w:lineRule="auto"/>
        <w:rPr>
          <w:sz w:val="20"/>
          <w:szCs w:val="20"/>
          <w:color w:val="auto"/>
        </w:rPr>
      </w:pPr>
      <w:r>
        <w:rPr>
          <w:rFonts w:ascii="Times New Roman" w:cs="Times New Roman" w:eastAsia="Times New Roman" w:hAnsi="Times New Roman"/>
          <w:sz w:val="15"/>
          <w:szCs w:val="15"/>
          <w:color w:val="auto"/>
        </w:rPr>
        <w:t>So long as the depositary or its nominee is the registered owner of the global notes, the depositary or its nominee will be considered the sole owner or holder of the notes represented by the global notes for all purposes under the indenture. Except as provided below, owners of beneficial interests in the global notes will not be entitled to have notes represented by the global notes registered in their names, will not receive or be entitled to receive physical delivery of notes in definitive form and will not be considered the owners or holders thereof under the indenture.</w:t>
      </w:r>
    </w:p>
    <w:p>
      <w:pPr>
        <w:spacing w:after="0" w:line="9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Principal and interest payments on notes registered in the name of the depositary or its nominee will be made to the depositary or its nominee, as the case may be, as the registered owner of the global notes. None of UAL, the Guarantor, the Trustee, any paying agent or registrar for the notes will have any responsibility or liability for any aspect of the records relating to or payments made on account of beneficial interests in the global notes or for maintaining, supervising or reviewing any records relating to these beneficial interests. Any notices required to be given to the registered holders while the notes are global notes will be given to DTC.</w:t>
      </w:r>
    </w:p>
    <w:p>
      <w:pPr>
        <w:spacing w:after="0" w:line="257" w:lineRule="exact"/>
        <w:rPr>
          <w:sz w:val="20"/>
          <w:szCs w:val="20"/>
          <w:color w:val="auto"/>
        </w:rPr>
      </w:pPr>
    </w:p>
    <w:p>
      <w:pPr>
        <w:ind w:left="1140" w:right="1259" w:firstLine="294"/>
        <w:spacing w:after="0" w:line="239" w:lineRule="auto"/>
        <w:rPr>
          <w:sz w:val="20"/>
          <w:szCs w:val="20"/>
          <w:color w:val="auto"/>
        </w:rPr>
      </w:pPr>
      <w:r>
        <w:rPr>
          <w:rFonts w:ascii="Times New Roman" w:cs="Times New Roman" w:eastAsia="Times New Roman" w:hAnsi="Times New Roman"/>
          <w:sz w:val="15"/>
          <w:szCs w:val="15"/>
          <w:color w:val="auto"/>
        </w:rPr>
        <w:t>We expect that the depositary for the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We also expect that payments by participants to owners of beneficial interests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w:t>
      </w:r>
    </w:p>
    <w:p>
      <w:pPr>
        <w:spacing w:after="0" w:line="100" w:lineRule="exact"/>
        <w:rPr>
          <w:sz w:val="20"/>
          <w:szCs w:val="20"/>
          <w:color w:val="auto"/>
        </w:rPr>
      </w:pPr>
    </w:p>
    <w:p>
      <w:pPr>
        <w:ind w:left="1140" w:right="1499" w:firstLine="294"/>
        <w:spacing w:after="0" w:line="271" w:lineRule="auto"/>
        <w:rPr>
          <w:sz w:val="20"/>
          <w:szCs w:val="20"/>
          <w:color w:val="auto"/>
        </w:rPr>
      </w:pPr>
      <w:r>
        <w:rPr>
          <w:rFonts w:ascii="Times New Roman" w:cs="Times New Roman" w:eastAsia="Times New Roman" w:hAnsi="Times New Roman"/>
          <w:sz w:val="15"/>
          <w:szCs w:val="15"/>
          <w:color w:val="auto"/>
        </w:rPr>
        <w:t>Notes represented by the global note will be exchangeable for certificated securities with the same terms only if:</w:t>
      </w:r>
    </w:p>
    <w:p>
      <w:pPr>
        <w:spacing w:after="0" w:line="41" w:lineRule="exact"/>
        <w:rPr>
          <w:sz w:val="20"/>
          <w:szCs w:val="20"/>
          <w:color w:val="auto"/>
        </w:rPr>
      </w:pPr>
    </w:p>
    <w:p>
      <w:pPr>
        <w:ind w:left="1580" w:right="1379" w:hanging="138"/>
        <w:spacing w:after="0" w:line="258"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DTC notifies UAL that it is unwilling or unable to continue as depositary or if DTC ceases to be a clearing agency registered under the Exchange Act and, in either case, UAL fails to appoint a successor depositary within 90 days following such event;</w:t>
      </w:r>
    </w:p>
    <w:p>
      <w:pPr>
        <w:spacing w:after="0" w:line="61"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executes and delivers to the Trustee an officers’ certificate to the effect that such global note shall be so exchangeable; or</w:t>
      </w:r>
    </w:p>
    <w:p>
      <w:pPr>
        <w:spacing w:after="0" w:line="40" w:lineRule="exact"/>
        <w:rPr>
          <w:rFonts w:ascii="Times New Roman" w:cs="Times New Roman" w:eastAsia="Times New Roman" w:hAnsi="Times New Roman"/>
          <w:sz w:val="15"/>
          <w:szCs w:val="15"/>
          <w:color w:val="auto"/>
        </w:rPr>
      </w:pPr>
    </w:p>
    <w:p>
      <w:pPr>
        <w:ind w:left="1580" w:right="1179" w:hanging="138"/>
        <w:spacing w:after="0" w:line="253"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Event of Default shall have occurred and be continuing and owners of beneficial interests in the global note in an amount not less than a majority of the aggregate outstanding principal amount of such global note have delivered to UAL and the Trustee a notice indicating that the continuation of the book-entry system through DTC is no longer in the best interests of the holders of such beneficial interests.</w:t>
      </w:r>
    </w:p>
    <w:p>
      <w:pPr>
        <w:spacing w:after="0" w:line="27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DTC has advised us as follows: DTC is a limited-purpose trust company organized under the New York Banking Law, a “banking organization” within the meaning of the New York Uniform Commercial Code, and a “clearing agency” registered pursuant to the provisions of Section 17A of the Exchange Act. DTC facilitates the settlement of transactions among its participants through electronic computerized book-entry changes in participants’ accounts, eliminating the need for physical movement of securities certificates. DTC’s participants include securities brokers and dealers, including the underwriters, banks, trust companies, clearing corporations and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color w:val="auto"/>
        </w:rPr>
        <w:t>Certain Definitions</w:t>
      </w:r>
    </w:p>
    <w:p>
      <w:pPr>
        <w:spacing w:after="0" w:line="128" w:lineRule="exact"/>
        <w:rPr>
          <w:sz w:val="20"/>
          <w:szCs w:val="20"/>
          <w:color w:val="auto"/>
        </w:rPr>
      </w:pPr>
    </w:p>
    <w:p>
      <w:pPr>
        <w:ind w:left="1140" w:right="1539" w:firstLine="294"/>
        <w:spacing w:after="0" w:line="256" w:lineRule="auto"/>
        <w:rPr>
          <w:sz w:val="20"/>
          <w:szCs w:val="20"/>
          <w:color w:val="auto"/>
        </w:rPr>
      </w:pPr>
      <w:r>
        <w:rPr>
          <w:rFonts w:ascii="Times New Roman" w:cs="Times New Roman" w:eastAsia="Times New Roman" w:hAnsi="Times New Roman"/>
          <w:sz w:val="15"/>
          <w:szCs w:val="15"/>
          <w:color w:val="auto"/>
        </w:rPr>
        <w:t>Set forth below are certain defined terms used in the indenture, which are used in the descriptions under “— Certain Covenants” above:</w:t>
      </w:r>
    </w:p>
    <w:p>
      <w:pPr>
        <w:spacing w:after="0" w:line="81" w:lineRule="exact"/>
        <w:rPr>
          <w:sz w:val="20"/>
          <w:szCs w:val="20"/>
          <w:color w:val="auto"/>
        </w:rPr>
      </w:pPr>
    </w:p>
    <w:p>
      <w:pPr>
        <w:ind w:left="1140" w:right="11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Aircraft Assets</w:t>
      </w:r>
      <w:r>
        <w:rPr>
          <w:rFonts w:ascii="Times New Roman" w:cs="Times New Roman" w:eastAsia="Times New Roman" w:hAnsi="Times New Roman"/>
          <w:sz w:val="15"/>
          <w:szCs w:val="15"/>
          <w:color w:val="auto"/>
        </w:rPr>
        <w:t>” means aircraft, airframes, engines (including spare engines), propellers, parts and other operating assets and pre-delivery payments relating to any of the foregoing.</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Airline/Parent Merger</w:t>
      </w:r>
      <w:r>
        <w:rPr>
          <w:rFonts w:ascii="Times New Roman" w:cs="Times New Roman" w:eastAsia="Times New Roman" w:hAnsi="Times New Roman"/>
          <w:sz w:val="15"/>
          <w:szCs w:val="15"/>
          <w:color w:val="auto"/>
        </w:rPr>
        <w:t>” means the merger or consolidation, if any, of United and UAL.</w:t>
      </w:r>
    </w:p>
    <w:p>
      <w:pPr>
        <w:spacing w:after="0" w:line="1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Beneficial Owner</w:t>
      </w:r>
      <w:r>
        <w:rPr>
          <w:rFonts w:ascii="Times New Roman" w:cs="Times New Roman" w:eastAsia="Times New Roman" w:hAnsi="Times New Roman"/>
          <w:sz w:val="15"/>
          <w:szCs w:val="15"/>
          <w:color w:val="auto"/>
        </w:rPr>
        <w:t>” has the meaning assigned to such term in Rule 13d-3 and Rule 13d-5 under the</w:t>
      </w:r>
    </w:p>
    <w:p>
      <w:pPr>
        <w:spacing w:after="0" w:line="23" w:lineRule="exact"/>
        <w:rPr>
          <w:sz w:val="20"/>
          <w:szCs w:val="20"/>
          <w:color w:val="auto"/>
        </w:rPr>
      </w:pPr>
    </w:p>
    <w:p>
      <w:pPr>
        <w:ind w:left="1140" w:right="1239"/>
        <w:spacing w:after="0" w:line="238" w:lineRule="auto"/>
        <w:rPr>
          <w:sz w:val="20"/>
          <w:szCs w:val="20"/>
          <w:color w:val="auto"/>
        </w:rPr>
      </w:pPr>
      <w:r>
        <w:rPr>
          <w:rFonts w:ascii="Times New Roman" w:cs="Times New Roman" w:eastAsia="Times New Roman" w:hAnsi="Times New Roman"/>
          <w:sz w:val="15"/>
          <w:szCs w:val="15"/>
          <w:color w:val="auto"/>
        </w:rPr>
        <w:t>Exchange Act, except that in calculating the beneficial ownership of any particular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(as​ that term is used in Section 13(d)(3) of the Exchange Act), such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will be deemed to have beneficial ownership of all securities that such “</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has the right to acquire by conversion or exercise of other securities, whether such right is currently exercisable or is exercisable only after the passage of time.</w:t>
      </w:r>
    </w:p>
    <w:p>
      <w:pPr>
        <w:spacing w:after="0" w:line="92" w:lineRule="exact"/>
        <w:rPr>
          <w:sz w:val="20"/>
          <w:szCs w:val="20"/>
          <w:color w:val="auto"/>
        </w:rPr>
      </w:pPr>
    </w:p>
    <w:p>
      <w:pPr>
        <w:ind w:left="1140" w:right="127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 of Directors</w:t>
      </w:r>
      <w:r>
        <w:rPr>
          <w:rFonts w:ascii="Times New Roman" w:cs="Times New Roman" w:eastAsia="Times New Roman" w:hAnsi="Times New Roman"/>
          <w:sz w:val="15"/>
          <w:szCs w:val="15"/>
          <w:color w:val="auto"/>
        </w:rPr>
        <w:t>” means the board of directors of UAL or any committee thereof duly authorized to act on behalf of the board of directors of UAL.</w:t>
      </w:r>
    </w:p>
    <w:p>
      <w:pPr>
        <w:spacing w:after="0" w:line="7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Brand Assets</w:t>
      </w:r>
      <w:r>
        <w:rPr>
          <w:rFonts w:ascii="Times New Roman" w:cs="Times New Roman" w:eastAsia="Times New Roman" w:hAnsi="Times New Roman"/>
          <w:sz w:val="15"/>
          <w:szCs w:val="15"/>
          <w:color w:val="auto"/>
        </w:rPr>
        <w:t>” means all (a) worldwide rights, owned or purported to be owned, or later developed or acquired and owned or purported to be owned, by UAL, United or any of their Subsidiaries, in and to all Intellectual Property comprising, or associated with, (i) all Trademarks that include the word “United” or phrase “United Airlines” or any successor brand, and all variations of the foregoing (including any Trademarks confusingly similar thereto, derived therefrom or containing the key elements thereof) (collectively, the “</w:t>
      </w:r>
      <w:r>
        <w:rPr>
          <w:rFonts w:ascii="Times New Roman" w:cs="Times New Roman" w:eastAsia="Times New Roman" w:hAnsi="Times New Roman"/>
          <w:sz w:val="15"/>
          <w:szCs w:val="15"/>
          <w:b w:val="1"/>
          <w:bCs w:val="1"/>
          <w:i w:val="1"/>
          <w:iCs w:val="1"/>
          <w:color w:val="auto"/>
        </w:rPr>
        <w:t>Brand Trademarks</w:t>
      </w:r>
      <w:r>
        <w:rPr>
          <w:rFonts w:ascii="Times New Roman" w:cs="Times New Roman" w:eastAsia="Times New Roman" w:hAnsi="Times New Roman"/>
          <w:sz w:val="15"/>
          <w:szCs w:val="15"/>
          <w:color w:val="auto"/>
        </w:rPr>
        <w:t xml:space="preserve">”), (ii) the “united.com” domain name and similar domain names or any successor domain names (collectively, the “ </w:t>
      </w:r>
      <w:r>
        <w:rPr>
          <w:rFonts w:ascii="Times New Roman" w:cs="Times New Roman" w:eastAsia="Times New Roman" w:hAnsi="Times New Roman"/>
          <w:sz w:val="15"/>
          <w:szCs w:val="15"/>
          <w:b w:val="1"/>
          <w:bCs w:val="1"/>
          <w:i w:val="1"/>
          <w:iCs w:val="1"/>
          <w:color w:val="auto"/>
        </w:rPr>
        <w:t>Brand Domain Names</w:t>
      </w:r>
      <w:r>
        <w:rPr>
          <w:rFonts w:ascii="Times New Roman" w:cs="Times New Roman" w:eastAsia="Times New Roman" w:hAnsi="Times New Roman"/>
          <w:sz w:val="15"/>
          <w:szCs w:val="15"/>
          <w:color w:val="auto"/>
        </w:rPr>
        <w:t>”), and (iii) other Trademarks, and any rights associated with any of the foregoing, owned or purported to be owned by and/or associated with UAL, United or any of their Subsidiaries (including, for avoidance of doubt, Continental Airlines, Inc. and United Continental Holdings, Inc. and any other predecessor of UAL, United or any of their Subsidiaries) (collectively, the “</w:t>
      </w:r>
      <w:r>
        <w:rPr>
          <w:rFonts w:ascii="Times New Roman" w:cs="Times New Roman" w:eastAsia="Times New Roman" w:hAnsi="Times New Roman"/>
          <w:sz w:val="15"/>
          <w:szCs w:val="15"/>
          <w:b w:val="1"/>
          <w:bCs w:val="1"/>
          <w:i w:val="1"/>
          <w:iCs w:val="1"/>
          <w:color w:val="auto"/>
        </w:rPr>
        <w:t>Other Brand Trademarks</w:t>
      </w:r>
      <w:r>
        <w:rPr>
          <w:rFonts w:ascii="Times New Roman" w:cs="Times New Roman" w:eastAsia="Times New Roman" w:hAnsi="Times New Roman"/>
          <w:sz w:val="15"/>
          <w:szCs w:val="15"/>
          <w:color w:val="auto"/>
        </w:rPr>
        <w:t>”), including (A) all causes of action and claims now or hereafter held by UAL, United or any of their Subsidiaries in respect of the Brand Trademarks, Brand Domain Names and Other Brand Trademarks, including, without limitation, the right to sue or otherwise recover for any and all past, present and future infringements or dilutions thereof and (B) all other Trademark rights corresponding thereto and all other Trademark rights of any kind whatsoever accruing under the Brand Trademarks, Brand Domain Names and Other Brand Trademarks; and including license, sublicence, contribution, lending, administrative, operating, services, management, co- branding, partnering or similar agreements related to or entered into in connection with the foregoing, and all proceeds of the foregoing, and (b) Equity Interests, and debt securities convertible into, or exchangeable for, Equity Interests, in the Brand Assets Group.</w:t>
      </w:r>
    </w:p>
    <w:p>
      <w:pPr>
        <w:spacing w:after="0" w:line="222" w:lineRule="exact"/>
        <w:rPr>
          <w:sz w:val="20"/>
          <w:szCs w:val="20"/>
          <w:color w:val="auto"/>
        </w:rPr>
      </w:pPr>
    </w:p>
    <w:p>
      <w:pPr>
        <w:ind w:left="1140" w:right="13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Brand Assets Group</w:t>
      </w:r>
      <w:r>
        <w:rPr>
          <w:rFonts w:ascii="Times New Roman" w:cs="Times New Roman" w:eastAsia="Times New Roman" w:hAnsi="Times New Roman"/>
          <w:sz w:val="15"/>
          <w:szCs w:val="15"/>
          <w:color w:val="auto"/>
        </w:rPr>
        <w:t>” means, each Subsidiary of United and UAL (other than United) whose primary business activity is to hold, own, operate, manage, or serve Brand Assets.</w:t>
      </w:r>
    </w:p>
    <w:p>
      <w:pPr>
        <w:spacing w:after="0" w:line="77" w:lineRule="exact"/>
        <w:rPr>
          <w:sz w:val="20"/>
          <w:szCs w:val="20"/>
          <w:color w:val="auto"/>
        </w:rPr>
      </w:pPr>
    </w:p>
    <w:p>
      <w:pPr>
        <w:ind w:left="1140" w:right="12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 Lease</w:t>
      </w:r>
      <w:r>
        <w:rPr>
          <w:rFonts w:ascii="Times New Roman" w:cs="Times New Roman" w:eastAsia="Times New Roman" w:hAnsi="Times New Roman"/>
          <w:sz w:val="15"/>
          <w:szCs w:val="15"/>
          <w:color w:val="auto"/>
        </w:rPr>
        <w:t>” means, at any time, a lease with respect to which the lessee is required concurrently to recognize the acquisition of an asset and the incurrence of a liability in accordance with GAAP.</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 Stock</w:t>
      </w:r>
      <w:r>
        <w:rPr>
          <w:rFonts w:ascii="Times New Roman" w:cs="Times New Roman" w:eastAsia="Times New Roman" w:hAnsi="Times New Roman"/>
          <w:sz w:val="15"/>
          <w:szCs w:val="15"/>
          <w:color w:val="auto"/>
        </w:rPr>
        <w:t>” means:</w:t>
      </w:r>
    </w:p>
    <w:p>
      <w:pPr>
        <w:spacing w:after="0" w:line="130" w:lineRule="exact"/>
        <w:rPr>
          <w:sz w:val="20"/>
          <w:szCs w:val="20"/>
          <w:color w:val="auto"/>
        </w:rPr>
      </w:pPr>
    </w:p>
    <w:p>
      <w:pPr>
        <w:ind w:left="2040" w:hanging="303"/>
        <w:spacing w:after="0"/>
        <w:tabs>
          <w:tab w:leader="none" w:pos="20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corporation, corporate stock;</w:t>
      </w:r>
    </w:p>
    <w:p>
      <w:pPr>
        <w:spacing w:after="0" w:line="125" w:lineRule="exact"/>
        <w:rPr>
          <w:rFonts w:ascii="Times New Roman" w:cs="Times New Roman" w:eastAsia="Times New Roman" w:hAnsi="Times New Roman"/>
          <w:sz w:val="15"/>
          <w:szCs w:val="15"/>
          <w:color w:val="auto"/>
        </w:rPr>
      </w:pPr>
    </w:p>
    <w:p>
      <w:pPr>
        <w:ind w:left="1440" w:right="1399" w:firstLine="297"/>
        <w:spacing w:after="0" w:line="271" w:lineRule="auto"/>
        <w:tabs>
          <w:tab w:leader="none" w:pos="2034"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association or business entity, any and all shares, interests, participations, rights or other equivalents (however designated) of corporate stock;</w:t>
      </w:r>
    </w:p>
    <w:p>
      <w:pPr>
        <w:spacing w:after="0" w:line="74" w:lineRule="exact"/>
        <w:rPr>
          <w:rFonts w:ascii="Times New Roman" w:cs="Times New Roman" w:eastAsia="Times New Roman" w:hAnsi="Times New Roman"/>
          <w:sz w:val="15"/>
          <w:szCs w:val="15"/>
          <w:color w:val="auto"/>
        </w:rPr>
      </w:pPr>
    </w:p>
    <w:p>
      <w:pPr>
        <w:ind w:left="1440" w:right="1639" w:firstLine="297"/>
        <w:spacing w:after="0" w:line="271" w:lineRule="auto"/>
        <w:tabs>
          <w:tab w:leader="none" w:pos="2034"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partnership or limited liability company, partnership interests (whether general or limited) or membership interests; and</w:t>
      </w:r>
    </w:p>
    <w:p>
      <w:pPr>
        <w:spacing w:after="0" w:line="85" w:lineRule="exact"/>
        <w:rPr>
          <w:rFonts w:ascii="Times New Roman" w:cs="Times New Roman" w:eastAsia="Times New Roman" w:hAnsi="Times New Roman"/>
          <w:sz w:val="15"/>
          <w:szCs w:val="15"/>
          <w:color w:val="auto"/>
        </w:rPr>
      </w:pPr>
    </w:p>
    <w:p>
      <w:pPr>
        <w:ind w:left="1440" w:right="1179" w:firstLine="297"/>
        <w:spacing w:after="0" w:line="254" w:lineRule="auto"/>
        <w:tabs>
          <w:tab w:leader="none" w:pos="2034"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w:t>
      </w:r>
      <w:r>
        <w:rPr>
          <w:rFonts w:ascii="Times New Roman" w:cs="Times New Roman" w:eastAsia="Times New Roman" w:hAnsi="Times New Roman"/>
          <w:sz w:val="15"/>
          <w:szCs w:val="15"/>
          <w:color w:val="auto"/>
        </w:rPr>
        <w:t>” means the occurrence of any of the following:</w:t>
      </w:r>
    </w:p>
    <w:p>
      <w:pPr>
        <w:spacing w:after="0" w:line="130" w:lineRule="exact"/>
        <w:rPr>
          <w:sz w:val="20"/>
          <w:szCs w:val="20"/>
          <w:color w:val="auto"/>
        </w:rPr>
      </w:pPr>
    </w:p>
    <w:p>
      <w:pPr>
        <w:ind w:left="1440" w:right="1179" w:firstLine="297"/>
        <w:spacing w:after="0"/>
        <w:tabs>
          <w:tab w:leader="none" w:pos="2034"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sale, lease, transfer, conveyance or other disposition (other than by way of merger or consolidation), in one or a series of related transactions, of all or substantially all of the properties or assets of UAL and its Subsidiaries taken as a whole to any Person (including any “person” (as​ that term is used in Section 13(d)(3) of the Exchange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sale by United of all or substantially all of its properties or assets to UAL shall not constitute a Change of Control; or</w:t>
      </w:r>
    </w:p>
    <w:p>
      <w:pPr>
        <w:spacing w:after="0" w:line="97" w:lineRule="exact"/>
        <w:rPr>
          <w:rFonts w:ascii="Times New Roman" w:cs="Times New Roman" w:eastAsia="Times New Roman" w:hAnsi="Times New Roman"/>
          <w:sz w:val="15"/>
          <w:szCs w:val="15"/>
          <w:color w:val="auto"/>
        </w:rPr>
      </w:pPr>
    </w:p>
    <w:p>
      <w:pPr>
        <w:ind w:left="1440" w:right="1179" w:firstLine="297"/>
        <w:spacing w:after="0" w:line="238" w:lineRule="auto"/>
        <w:tabs>
          <w:tab w:leader="none" w:pos="2034"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consummation of any transaction (including, without limitation, any merger or consolidation), the result of which is that any Person (including any “person” (as​ defined above)) becomes the Beneficial Owner, directly or indirectly, of more than 50% of the Voting Stock of UAL (measured by voting power rather than number of shares), other than (i) any such transaction where the Voting Stock of UAL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UAL with or into any Person (including any “person” (as​ defined above)) which owns or operates (directly or indirectly through a contractual arrangement) a Permitted Business (a “Permitted Person”)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occurrence of the Airline/Parent Merger shall not be deemed to constitute a Change of Control.</w:t>
      </w:r>
    </w:p>
    <w:p>
      <w:pPr>
        <w:spacing w:after="0" w:line="96" w:lineRule="exact"/>
        <w:rPr>
          <w:sz w:val="20"/>
          <w:szCs w:val="20"/>
          <w:color w:val="auto"/>
        </w:rPr>
      </w:pPr>
    </w:p>
    <w:p>
      <w:pPr>
        <w:ind w:left="1140" w:right="119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Offer</w:t>
      </w:r>
      <w:r>
        <w:rPr>
          <w:rFonts w:ascii="Times New Roman" w:cs="Times New Roman" w:eastAsia="Times New Roman" w:hAnsi="Times New Roman"/>
          <w:sz w:val="15"/>
          <w:szCs w:val="15"/>
          <w:color w:val="auto"/>
        </w:rPr>
        <w:t>” has the meaning assigned to that term in the first paragraph under the caption “— Offer to Repurchase Upon a Change of Control Triggering Event”.</w:t>
      </w:r>
    </w:p>
    <w:p>
      <w:pPr>
        <w:spacing w:after="0" w:line="77" w:lineRule="exact"/>
        <w:rPr>
          <w:sz w:val="20"/>
          <w:szCs w:val="20"/>
          <w:color w:val="auto"/>
        </w:rPr>
      </w:pPr>
    </w:p>
    <w:p>
      <w:pPr>
        <w:ind w:left="1140" w:right="123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Payment Date</w:t>
      </w:r>
      <w:r>
        <w:rPr>
          <w:rFonts w:ascii="Times New Roman" w:cs="Times New Roman" w:eastAsia="Times New Roman" w:hAnsi="Times New Roman"/>
          <w:sz w:val="15"/>
          <w:szCs w:val="15"/>
          <w:color w:val="auto"/>
        </w:rPr>
        <w:t>” has the meaning assigned to that term in the second paragraph under the caption “— Offer to Repurchase Upon a Change of Control Triggering Event.”</w:t>
      </w:r>
    </w:p>
    <w:p>
      <w:pPr>
        <w:spacing w:after="0" w:line="77" w:lineRule="exact"/>
        <w:rPr>
          <w:sz w:val="20"/>
          <w:szCs w:val="20"/>
          <w:color w:val="auto"/>
        </w:rPr>
      </w:pPr>
    </w:p>
    <w:p>
      <w:pPr>
        <w:ind w:left="1140" w:right="135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 Triggering Event</w:t>
      </w:r>
      <w:r>
        <w:rPr>
          <w:rFonts w:ascii="Times New Roman" w:cs="Times New Roman" w:eastAsia="Times New Roman" w:hAnsi="Times New Roman"/>
          <w:sz w:val="15"/>
          <w:szCs w:val="15"/>
          <w:color w:val="auto"/>
        </w:rPr>
        <w:t>” means the occurrence of both a Change of Control and a Rating Decline.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Closing Date</w:t>
      </w:r>
      <w:r>
        <w:rPr>
          <w:rFonts w:ascii="Times New Roman" w:cs="Times New Roman" w:eastAsia="Times New Roman" w:hAnsi="Times New Roman"/>
          <w:sz w:val="15"/>
          <w:szCs w:val="15"/>
          <w:color w:val="auto"/>
        </w:rPr>
        <w:t>” means the date of original issuance of the notes.</w:t>
      </w:r>
    </w:p>
    <w:p>
      <w:pPr>
        <w:spacing w:after="0" w:line="126"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Consolidated Tangible Assets</w:t>
      </w:r>
      <w:r>
        <w:rPr>
          <w:rFonts w:ascii="Times New Roman" w:cs="Times New Roman" w:eastAsia="Times New Roman" w:hAnsi="Times New Roman"/>
          <w:sz w:val="15"/>
          <w:szCs w:val="15"/>
          <w:color w:val="auto"/>
        </w:rPr>
        <w:t>” 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w:t>
      </w:r>
    </w:p>
    <w:p>
      <w:pPr>
        <w:spacing w:after="0" w:line="95" w:lineRule="exact"/>
        <w:rPr>
          <w:sz w:val="20"/>
          <w:szCs w:val="20"/>
          <w:color w:val="auto"/>
        </w:rPr>
      </w:pPr>
    </w:p>
    <w:p>
      <w:pPr>
        <w:ind w:left="1140" w:right="123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Covered Property</w:t>
      </w:r>
      <w:r>
        <w:rPr>
          <w:rFonts w:ascii="Times New Roman" w:cs="Times New Roman" w:eastAsia="Times New Roman" w:hAnsi="Times New Roman"/>
          <w:sz w:val="15"/>
          <w:szCs w:val="15"/>
          <w:color w:val="auto"/>
        </w:rPr>
        <w:t>” means any property, tangible or intangible, real or personal, or asset of UAL or any UAL Subsidiary, other than any Aircraft Assets, Brand Assets, SRG Assets, or Loyalty Assets.</w:t>
      </w:r>
    </w:p>
    <w:p>
      <w:pPr>
        <w:spacing w:after="0" w:line="65" w:lineRule="exact"/>
        <w:rPr>
          <w:sz w:val="20"/>
          <w:szCs w:val="20"/>
          <w:color w:val="auto"/>
        </w:rPr>
      </w:pPr>
    </w:p>
    <w:p>
      <w:pPr>
        <w:ind w:left="1140" w:right="139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Default</w:t>
      </w:r>
      <w:r>
        <w:rPr>
          <w:rFonts w:ascii="Times New Roman" w:cs="Times New Roman" w:eastAsia="Times New Roman" w:hAnsi="Times New Roman"/>
          <w:sz w:val="15"/>
          <w:szCs w:val="15"/>
          <w:color w:val="auto"/>
        </w:rPr>
        <w:t>” means any event which is, or after notice or passage of time or both would be, an Event of Default.</w:t>
      </w:r>
    </w:p>
    <w:p>
      <w:pPr>
        <w:spacing w:after="0" w:line="77" w:lineRule="exact"/>
        <w:rPr>
          <w:sz w:val="20"/>
          <w:szCs w:val="20"/>
          <w:color w:val="auto"/>
        </w:rPr>
      </w:pPr>
    </w:p>
    <w:p>
      <w:pPr>
        <w:ind w:left="1140" w:right="12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Equity Interests</w:t>
      </w:r>
      <w:r>
        <w:rPr>
          <w:rFonts w:ascii="Times New Roman" w:cs="Times New Roman" w:eastAsia="Times New Roman" w:hAnsi="Times New Roman"/>
          <w:sz w:val="15"/>
          <w:szCs w:val="15"/>
          <w:color w:val="auto"/>
        </w:rPr>
        <w:t>” means Capital Stock and all warrants, options or other rights to acquire Capital Stock (but excluding any debt security that is convertible into, or exchangeable for, Capital Stock).</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15"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FAA Slot</w:t>
      </w:r>
      <w:r>
        <w:rPr>
          <w:rFonts w:ascii="Times New Roman" w:cs="Times New Roman" w:eastAsia="Times New Roman" w:hAnsi="Times New Roman"/>
          <w:sz w:val="15"/>
          <w:szCs w:val="15"/>
          <w:color w:val="auto"/>
        </w:rPr>
        <w:t>”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w:t>
      </w:r>
    </w:p>
    <w:p>
      <w:pPr>
        <w:spacing w:after="0" w:line="9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Fitch</w:t>
      </w:r>
      <w:r>
        <w:rPr>
          <w:rFonts w:ascii="Times New Roman" w:cs="Times New Roman" w:eastAsia="Times New Roman" w:hAnsi="Times New Roman"/>
          <w:sz w:val="15"/>
          <w:szCs w:val="15"/>
          <w:color w:val="auto"/>
        </w:rPr>
        <w:t>” means Fitch, Inc., also known as Fitch Ratings, and its successors.</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3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Foreign Slot</w:t>
      </w:r>
      <w:r>
        <w:rPr>
          <w:rFonts w:ascii="Times New Roman" w:cs="Times New Roman" w:eastAsia="Times New Roman" w:hAnsi="Times New Roman"/>
          <w:sz w:val="15"/>
          <w:szCs w:val="15"/>
          <w:color w:val="auto"/>
        </w:rPr>
        <w:t>” means, in the case of airports outside the United States, at any time, the right and operational authority to conduct one landing or take-off at a specific time or during a specific time period.</w:t>
      </w:r>
    </w:p>
    <w:p>
      <w:pPr>
        <w:spacing w:after="0" w:line="65"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“GAAP” </w:t>
      </w:r>
      <w:r>
        <w:rPr>
          <w:rFonts w:ascii="Times New Roman" w:cs="Times New Roman" w:eastAsia="Times New Roman" w:hAnsi="Times New Roman"/>
          <w:sz w:val="15"/>
          <w:szCs w:val="15"/>
          <w:color w:val="auto"/>
        </w:rPr>
        <w:t>means generally accepted accounting principles in the United States of America, which are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94" w:lineRule="exact"/>
        <w:rPr>
          <w:sz w:val="20"/>
          <w:szCs w:val="20"/>
          <w:color w:val="auto"/>
        </w:rPr>
      </w:pPr>
    </w:p>
    <w:p>
      <w:pPr>
        <w:ind w:left="1140" w:right="1239" w:firstLine="294"/>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Gate Leaseholds</w:t>
      </w:r>
      <w:r>
        <w:rPr>
          <w:rFonts w:ascii="Times New Roman" w:cs="Times New Roman" w:eastAsia="Times New Roman" w:hAnsi="Times New Roman"/>
          <w:sz w:val="15"/>
          <w:szCs w:val="15"/>
          <w:color w:val="auto"/>
        </w:rPr>
        <w:t>” means, at any time, all of the right, title, privilege, interest, and authority now or hereafter acquired or held by United or any other applicable UAL subsidiary in connection with the right to use or occupy holdroom and passenger boarding and deplaning space in any airport terminal at which United or any other UAL subsidiary conducts scheduled operations.</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“Guarantor” </w:t>
      </w:r>
      <w:r>
        <w:rPr>
          <w:rFonts w:ascii="Times New Roman" w:cs="Times New Roman" w:eastAsia="Times New Roman" w:hAnsi="Times New Roman"/>
          <w:sz w:val="15"/>
          <w:szCs w:val="15"/>
          <w:color w:val="auto"/>
        </w:rPr>
        <w:t>means United.</w:t>
      </w:r>
    </w:p>
    <w:p>
      <w:pPr>
        <w:spacing w:after="0" w:line="126"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“Guarantor Obligations” </w:t>
      </w:r>
      <w:r>
        <w:rPr>
          <w:rFonts w:ascii="Times New Roman" w:cs="Times New Roman" w:eastAsia="Times New Roman" w:hAnsi="Times New Roman"/>
          <w:sz w:val="15"/>
          <w:szCs w:val="15"/>
          <w:color w:val="auto"/>
        </w:rPr>
        <w:t>means the due and punctual payment, of the principal of (and premium, if 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interest (including, in case of default, interest on principal and, to the extent permitted by applicable law, on overdue interest and including any additional interest required to be paid according to the terms of the notes),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UAL with respect to the notes to the holder or the indenture trustee hereunder or thereunder.</w:t>
      </w:r>
    </w:p>
    <w:p>
      <w:pPr>
        <w:spacing w:after="0" w:line="84" w:lineRule="exact"/>
        <w:rPr>
          <w:sz w:val="20"/>
          <w:szCs w:val="20"/>
          <w:color w:val="auto"/>
        </w:rPr>
      </w:pPr>
    </w:p>
    <w:p>
      <w:pPr>
        <w:ind w:left="1140" w:right="1459" w:firstLine="294"/>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“Indebtedness” </w:t>
      </w:r>
      <w:r>
        <w:rPr>
          <w:rFonts w:ascii="Times New Roman" w:cs="Times New Roman" w:eastAsia="Times New Roman" w:hAnsi="Times New Roman"/>
          <w:sz w:val="15"/>
          <w:szCs w:val="15"/>
          <w:color w:val="auto"/>
        </w:rPr>
        <w:t>means any Person’s obligation for borrowed money, including without limitation all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obligations evidenced by bonds, debentures, notes or similar instruments.</w:t>
      </w:r>
    </w:p>
    <w:p>
      <w:pPr>
        <w:spacing w:after="0" w:line="65"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Intellectual Property</w:t>
      </w:r>
      <w:r>
        <w:rPr>
          <w:rFonts w:ascii="Times New Roman" w:cs="Times New Roman" w:eastAsia="Times New Roman" w:hAnsi="Times New Roman"/>
          <w:sz w:val="15"/>
          <w:szCs w:val="15"/>
          <w:color w:val="auto"/>
        </w:rPr>
        <w:t>” means all (a) patents, applications for patents and statutory invention registrations, including reissues, divisions, provisionals, non-provisionals, continuations, renewals, re-examinations, extensions and continuations-in-part of the foregoing, (b) Trademarks, (c) registered or unregistered copyrights, copyrightable subject matter, works of authorship, mask works, rights of publicity and all other rights in any works of authorship and all derivative works, translations, adaptations and combinations of any of the foregoing, all applications and registrations therefor, and renewals, extensions and reversions thereof, (d) Trade Secrets, (e) designs, design registrations, design registration applications and integrated circuit topographies, (f) rights in databases and data collections, (g) moral and economic rights of authors and inventors, however denominated, (h) other intellectual property and proprietary rights in all forms and media, and all goodwill associated therewith, now known or hereafter recognized in any jurisdiction worldwide, whether registered or unregistered, and (i) similar or equivalent rights to any of the foregoing, including those arising under international treaties and convention rights.</w:t>
      </w:r>
    </w:p>
    <w:p>
      <w:pPr>
        <w:spacing w:after="0" w:line="98" w:lineRule="exact"/>
        <w:rPr>
          <w:sz w:val="20"/>
          <w:szCs w:val="20"/>
          <w:color w:val="auto"/>
        </w:rPr>
      </w:pPr>
    </w:p>
    <w:p>
      <w:pPr>
        <w:ind w:left="1140" w:right="1179" w:firstLine="294"/>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Investment Grade</w:t>
      </w:r>
      <w:r>
        <w:rPr>
          <w:rFonts w:ascii="Times New Roman" w:cs="Times New Roman" w:eastAsia="Times New Roman" w:hAnsi="Times New Roman"/>
          <w:sz w:val="15"/>
          <w:szCs w:val="15"/>
          <w:color w:val="auto"/>
        </w:rPr>
        <w:t>”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w:t>
      </w:r>
    </w:p>
    <w:p>
      <w:pPr>
        <w:spacing w:after="0" w:line="88" w:lineRule="exact"/>
        <w:rPr>
          <w:sz w:val="20"/>
          <w:szCs w:val="20"/>
          <w:color w:val="auto"/>
        </w:rPr>
      </w:pPr>
    </w:p>
    <w:p>
      <w:pPr>
        <w:jc w:val="both"/>
        <w:ind w:left="1140" w:right="1519" w:firstLine="294"/>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Lien</w:t>
      </w:r>
      <w:r>
        <w:rPr>
          <w:rFonts w:ascii="Times New Roman" w:cs="Times New Roman" w:eastAsia="Times New Roman" w:hAnsi="Times New Roman"/>
          <w:sz w:val="15"/>
          <w:szCs w:val="15"/>
          <w:color w:val="auto"/>
        </w:rPr>
        <w:t>” means any lien (statutory or otherwise), security interest, mortgage, pledge, hypothecation, charge or similar encumbrance; provided, however, that in no event shall an operating lease, operating sublease or license be deemed to constitute a Lien.</w:t>
      </w:r>
    </w:p>
    <w:p>
      <w:pPr>
        <w:spacing w:after="0" w:line="84"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Loyalty Assets</w:t>
      </w:r>
      <w:r>
        <w:rPr>
          <w:rFonts w:ascii="Times New Roman" w:cs="Times New Roman" w:eastAsia="Times New Roman" w:hAnsi="Times New Roman"/>
          <w:sz w:val="15"/>
          <w:szCs w:val="15"/>
          <w:color w:val="auto"/>
        </w:rPr>
        <w:t>” means all assets which are primarily related to, or used or entered into in connection with, the MileagePlus Program, or which are owned or held by the MileagePlus Group, including, without limitation, (i) Intellectual Property primarily used in or required or necessary to operate the MileagePlus Program, (ii) license, sublicence, contribution, operating, services, lending, administrative, management or similar agreements related to or entered into in connection with the MileagePlus Program, (iii) co-branding, partnering or similar agreements related to or entered into in connection with the MileagePlus Program,</w:t>
      </w:r>
    </w:p>
    <w:p>
      <w:pPr>
        <w:spacing w:after="0" w:line="1" w:lineRule="exact"/>
        <w:rPr>
          <w:sz w:val="20"/>
          <w:szCs w:val="20"/>
          <w:color w:val="auto"/>
        </w:rPr>
      </w:pPr>
    </w:p>
    <w:p>
      <w:pPr>
        <w:jc w:val="center"/>
        <w:ind w:left="4340" w:right="1239" w:hanging="3192"/>
        <w:spacing w:after="0" w:line="694" w:lineRule="auto"/>
        <w:tabs>
          <w:tab w:leader="none" w:pos="1411"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used, generated or produced as part of the MileagePlus Program, (v) miles, points or other units of 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-15240</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4" w:lineRule="auto"/>
        <w:rPr>
          <w:sz w:val="20"/>
          <w:szCs w:val="20"/>
          <w:color w:val="auto"/>
        </w:rPr>
      </w:pPr>
      <w:r>
        <w:rPr>
          <w:rFonts w:ascii="Times New Roman" w:cs="Times New Roman" w:eastAsia="Times New Roman" w:hAnsi="Times New Roman"/>
          <w:sz w:val="15"/>
          <w:szCs w:val="15"/>
          <w:color w:val="auto"/>
        </w:rPr>
        <w:t>currency under the MileagePlus Program, and agreements governing the sale, transfer or redemption thereof, (vi) Equity Interests, and debt securities convertible into, or exchangeable for, Equity Interests, in the MileagePlus Group, (vii) any cash or securities or deposit accounts related to the foregoing, and (viii) all proceeds of any of the foregoing.</w:t>
      </w:r>
    </w:p>
    <w:p>
      <w:pPr>
        <w:spacing w:after="0" w:line="94"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Material Subsidiary</w:t>
      </w:r>
      <w:r>
        <w:rPr>
          <w:rFonts w:ascii="Times New Roman" w:cs="Times New Roman" w:eastAsia="Times New Roman" w:hAnsi="Times New Roman"/>
          <w:sz w:val="15"/>
          <w:szCs w:val="15"/>
          <w:color w:val="auto"/>
        </w:rPr>
        <w:t>”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w:t>
      </w:r>
    </w:p>
    <w:p>
      <w:pPr>
        <w:spacing w:after="0" w:line="95" w:lineRule="exact"/>
        <w:rPr>
          <w:sz w:val="20"/>
          <w:szCs w:val="20"/>
          <w:color w:val="auto"/>
        </w:rPr>
      </w:pPr>
    </w:p>
    <w:p>
      <w:pPr>
        <w:ind w:left="1140" w:right="1299" w:firstLine="294"/>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MileagePlus Group</w:t>
      </w:r>
      <w:r>
        <w:rPr>
          <w:rFonts w:ascii="Times New Roman" w:cs="Times New Roman" w:eastAsia="Times New Roman" w:hAnsi="Times New Roman"/>
          <w:sz w:val="15"/>
          <w:szCs w:val="15"/>
          <w:color w:val="auto"/>
        </w:rPr>
        <w:t>” means, collectively, MPH and each of its Subsidiaries (including Mileage Plus Intellectual Property Assets, Ltd., an exempted company incorporated with limited liability under the laws of the Cayman Islands), and any other Subsidiary of United or UAL (excluding United) whose primary business activity is to hold, own or operate assets (including Equity Interests) primarily related to, or used or entered into in connection with, the MileagePlus Program.</w:t>
      </w:r>
    </w:p>
    <w:p>
      <w:pPr>
        <w:spacing w:after="0" w:line="84" w:lineRule="exact"/>
        <w:rPr>
          <w:sz w:val="20"/>
          <w:szCs w:val="20"/>
          <w:color w:val="auto"/>
        </w:rPr>
      </w:pPr>
    </w:p>
    <w:p>
      <w:pPr>
        <w:ind w:left="1140" w:right="1279" w:firstLine="294"/>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MileagePlus Program</w:t>
      </w:r>
      <w:r>
        <w:rPr>
          <w:rFonts w:ascii="Times New Roman" w:cs="Times New Roman" w:eastAsia="Times New Roman" w:hAnsi="Times New Roman"/>
          <w:sz w:val="15"/>
          <w:szCs w:val="15"/>
          <w:color w:val="auto"/>
        </w:rPr>
        <w:t>”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w:t>
      </w:r>
    </w:p>
    <w:p>
      <w:pPr>
        <w:spacing w:after="0" w:line="92" w:lineRule="exact"/>
        <w:rPr>
          <w:sz w:val="20"/>
          <w:szCs w:val="20"/>
          <w:color w:val="auto"/>
        </w:rPr>
      </w:pPr>
    </w:p>
    <w:p>
      <w:pPr>
        <w:ind w:left="1140" w:right="16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Moody’s</w:t>
      </w:r>
      <w:r>
        <w:rPr>
          <w:rFonts w:ascii="Times New Roman" w:cs="Times New Roman" w:eastAsia="Times New Roman" w:hAnsi="Times New Roman"/>
          <w:sz w:val="15"/>
          <w:szCs w:val="15"/>
          <w:color w:val="auto"/>
        </w:rPr>
        <w:t>” means Moody’s Investors Service, Inc., a subsidiary of Moody’s Corporation, and its successors.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MPH</w:t>
      </w:r>
      <w:r>
        <w:rPr>
          <w:rFonts w:ascii="Times New Roman" w:cs="Times New Roman" w:eastAsia="Times New Roman" w:hAnsi="Times New Roman"/>
          <w:sz w:val="15"/>
          <w:szCs w:val="15"/>
          <w:color w:val="auto"/>
        </w:rPr>
        <w:t>” means Mileage Plus Holdings, LLC, a Delaware limited liability company.</w:t>
      </w:r>
    </w:p>
    <w:p>
      <w:pPr>
        <w:spacing w:after="0" w:line="115" w:lineRule="exact"/>
        <w:rPr>
          <w:sz w:val="20"/>
          <w:szCs w:val="20"/>
          <w:color w:val="auto"/>
        </w:rPr>
      </w:pPr>
    </w:p>
    <w:p>
      <w:pPr>
        <w:ind w:left="1140" w:right="16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 Call Date</w:t>
      </w:r>
      <w:r>
        <w:rPr>
          <w:rFonts w:ascii="Times New Roman" w:cs="Times New Roman" w:eastAsia="Times New Roman" w:hAnsi="Times New Roman"/>
          <w:sz w:val="15"/>
          <w:szCs w:val="15"/>
          <w:color w:val="auto"/>
        </w:rPr>
        <w:t>” has the meaning assigned to that term in the second paragraph under the caption “— Optional Redemption”.</w:t>
      </w:r>
    </w:p>
    <w:p>
      <w:pPr>
        <w:spacing w:after="0" w:line="77" w:lineRule="exact"/>
        <w:rPr>
          <w:sz w:val="20"/>
          <w:szCs w:val="20"/>
          <w:color w:val="auto"/>
        </w:rPr>
      </w:pPr>
    </w:p>
    <w:p>
      <w:pPr>
        <w:ind w:left="1140" w:right="119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Permitted Business</w:t>
      </w:r>
      <w:r>
        <w:rPr>
          <w:rFonts w:ascii="Times New Roman" w:cs="Times New Roman" w:eastAsia="Times New Roman" w:hAnsi="Times New Roman"/>
          <w:sz w:val="15"/>
          <w:szCs w:val="15"/>
          <w:color w:val="auto"/>
        </w:rPr>
        <w:t>” means any business that is the same as, or reasonably related, ancillary, supportive or complementary to, the business in which UAL and its Subsidiaries are engaged on the Closing Date.</w:t>
      </w:r>
    </w:p>
    <w:p>
      <w:pPr>
        <w:spacing w:after="0" w:line="77" w:lineRule="exact"/>
        <w:rPr>
          <w:sz w:val="20"/>
          <w:szCs w:val="20"/>
          <w:color w:val="auto"/>
        </w:rPr>
      </w:pPr>
    </w:p>
    <w:p>
      <w:pPr>
        <w:ind w:left="1140" w:right="125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78" w:lineRule="exact"/>
        <w:rPr>
          <w:sz w:val="20"/>
          <w:szCs w:val="20"/>
          <w:color w:val="auto"/>
        </w:rPr>
      </w:pPr>
    </w:p>
    <w:p>
      <w:pPr>
        <w:ind w:left="1140" w:right="1259" w:firstLine="294"/>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Rating Agency</w:t>
      </w:r>
      <w:r>
        <w:rPr>
          <w:rFonts w:ascii="Times New Roman" w:cs="Times New Roman" w:eastAsia="Times New Roman" w:hAnsi="Times New Roman"/>
          <w:sz w:val="15"/>
          <w:szCs w:val="15"/>
          <w:color w:val="auto"/>
        </w:rPr>
        <w:t>” means (1) each of Fitch, Moody’s, and S&amp;P, and (2) if any of Fitch, Moody’s, or S&amp;P ceases to rate the notes or fails to make a rating of the notes publicly available for reasons outside of our control, a “nationally recognized statistical rating organization” as defined in Section 3 (a)(62) of the Exchange Act, selected by us (as certified by a resolution of United’s board of directors or the Board of Directors) as a replacement agency for Fitch, Moody’s, or S&amp;P, or all of them, as the case may be.</w:t>
      </w:r>
    </w:p>
    <w:p>
      <w:pPr>
        <w:spacing w:after="0" w:line="95"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Rating Decline</w:t>
      </w:r>
      <w:r>
        <w:rPr>
          <w:rFonts w:ascii="Times New Roman" w:cs="Times New Roman" w:eastAsia="Times New Roman" w:hAnsi="Times New Roman"/>
          <w:sz w:val="15"/>
          <w:szCs w:val="15"/>
          <w:color w:val="auto"/>
        </w:rPr>
        <w:t xml:space="preserve">”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each Rating Agency indicates that such downgrade is as a result of such Change of Control.</w:t>
      </w:r>
    </w:p>
    <w:p>
      <w:pPr>
        <w:spacing w:after="0" w:line="276" w:lineRule="exact"/>
        <w:rPr>
          <w:sz w:val="20"/>
          <w:szCs w:val="20"/>
          <w:color w:val="auto"/>
        </w:rPr>
      </w:pPr>
    </w:p>
    <w:p>
      <w:pPr>
        <w:jc w:val="both"/>
        <w:ind w:left="1140" w:right="1259" w:firstLine="29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Routes</w:t>
      </w:r>
      <w:r>
        <w:rPr>
          <w:rFonts w:ascii="Times New Roman" w:cs="Times New Roman" w:eastAsia="Times New Roman" w:hAnsi="Times New Roman"/>
          <w:sz w:val="15"/>
          <w:szCs w:val="15"/>
          <w:color w:val="auto"/>
        </w:rPr>
        <w:t>” means the authority pursuant to Title 49 or other applicable law, to operate scheduled service between a specifically designated pair of terminal points and intermediate points, if any, including, without limitation, applicable frequencies, exemption and certificate authorities.</w:t>
      </w:r>
    </w:p>
    <w:p>
      <w:pPr>
        <w:spacing w:after="0" w:line="7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S&amp;P</w:t>
      </w:r>
      <w:r>
        <w:rPr>
          <w:rFonts w:ascii="Times New Roman" w:cs="Times New Roman" w:eastAsia="Times New Roman" w:hAnsi="Times New Roman"/>
          <w:sz w:val="15"/>
          <w:szCs w:val="15"/>
          <w:color w:val="auto"/>
        </w:rPr>
        <w:t>” means S&amp;P Global Ratings and its successors.</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means the Securities and Exchange Commission.</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Slot</w:t>
      </w:r>
      <w:r>
        <w:rPr>
          <w:rFonts w:ascii="Times New Roman" w:cs="Times New Roman" w:eastAsia="Times New Roman" w:hAnsi="Times New Roman"/>
          <w:sz w:val="15"/>
          <w:szCs w:val="15"/>
          <w:color w:val="auto"/>
        </w:rPr>
        <w:t>” means each FAA Slot and each Foreign Slot, as the case may be.</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SRG Assets</w:t>
      </w:r>
      <w:r>
        <w:rPr>
          <w:rFonts w:ascii="Times New Roman" w:cs="Times New Roman" w:eastAsia="Times New Roman" w:hAnsi="Times New Roman"/>
          <w:sz w:val="15"/>
          <w:szCs w:val="15"/>
          <w:color w:val="auto"/>
        </w:rPr>
        <w:t>” means Slots, Routes and Gate Leaseholds.</w:t>
      </w:r>
    </w:p>
    <w:p>
      <w:pPr>
        <w:spacing w:after="0" w:line="126" w:lineRule="exact"/>
        <w:rPr>
          <w:sz w:val="20"/>
          <w:szCs w:val="20"/>
          <w:color w:val="auto"/>
        </w:rPr>
      </w:pPr>
    </w:p>
    <w:p>
      <w:pPr>
        <w:ind w:left="1140" w:right="135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Stated Maturity</w:t>
      </w:r>
      <w:r>
        <w:rPr>
          <w:rFonts w:ascii="Times New Roman" w:cs="Times New Roman" w:eastAsia="Times New Roman" w:hAnsi="Times New Roman"/>
          <w:sz w:val="15"/>
          <w:szCs w:val="15"/>
          <w:color w:val="auto"/>
        </w:rPr>
        <w:t>” means the date specified in the notes as the fixed date on which an amount equal to the principal amount of the notes is due and payable.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with respect to any Person:</w:t>
      </w:r>
    </w:p>
    <w:p>
      <w:pPr>
        <w:spacing w:after="0" w:line="119" w:lineRule="exact"/>
        <w:rPr>
          <w:sz w:val="20"/>
          <w:szCs w:val="20"/>
          <w:color w:val="auto"/>
        </w:rPr>
      </w:pPr>
    </w:p>
    <w:p>
      <w:pPr>
        <w:ind w:left="1440" w:right="1199" w:firstLine="297"/>
        <w:spacing w:after="0" w:line="250" w:lineRule="auto"/>
        <w:tabs>
          <w:tab w:leader="none" w:pos="1954"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00" w:lineRule="exact"/>
        <w:rPr>
          <w:rFonts w:ascii="Times New Roman" w:cs="Times New Roman" w:eastAsia="Times New Roman" w:hAnsi="Times New Roman"/>
          <w:sz w:val="15"/>
          <w:szCs w:val="15"/>
          <w:color w:val="auto"/>
        </w:rPr>
      </w:pPr>
    </w:p>
    <w:p>
      <w:pPr>
        <w:ind w:left="1440" w:right="1239" w:firstLine="297"/>
        <w:spacing w:after="0" w:line="250" w:lineRule="auto"/>
        <w:tabs>
          <w:tab w:leader="none" w:pos="1954"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99"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Trademarks</w:t>
      </w:r>
      <w:r>
        <w:rPr>
          <w:rFonts w:ascii="Times New Roman" w:cs="Times New Roman" w:eastAsia="Times New Roman" w:hAnsi="Times New Roman"/>
          <w:sz w:val="15"/>
          <w:szCs w:val="15"/>
          <w:color w:val="auto"/>
        </w:rPr>
        <w:t>”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w:t>
      </w:r>
    </w:p>
    <w:p>
      <w:pPr>
        <w:spacing w:after="0" w:line="266"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Trade Secrets</w:t>
      </w:r>
      <w:r>
        <w:rPr>
          <w:rFonts w:ascii="Times New Roman" w:cs="Times New Roman" w:eastAsia="Times New Roman" w:hAnsi="Times New Roman"/>
          <w:sz w:val="15"/>
          <w:szCs w:val="15"/>
          <w:color w:val="auto"/>
        </w:rPr>
        <w:t>”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code, customer lists and data, databases, compilations, collections of data, practices, processes, specifications, techniques, improvements, prototypes, devices, test procedures, flow diagrams, research and development, and formulas.</w:t>
      </w:r>
    </w:p>
    <w:p>
      <w:pPr>
        <w:spacing w:after="0" w:line="95" w:lineRule="exact"/>
        <w:rPr>
          <w:sz w:val="20"/>
          <w:szCs w:val="20"/>
          <w:color w:val="auto"/>
        </w:rPr>
      </w:pPr>
    </w:p>
    <w:p>
      <w:pPr>
        <w:ind w:left="1140" w:right="121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Trust Indenture Act</w:t>
      </w:r>
      <w:r>
        <w:rPr>
          <w:rFonts w:ascii="Times New Roman" w:cs="Times New Roman" w:eastAsia="Times New Roman" w:hAnsi="Times New Roman"/>
          <w:sz w:val="15"/>
          <w:szCs w:val="15"/>
          <w:color w:val="auto"/>
        </w:rPr>
        <w:t>” means the Trust Indenture Act of 1939, as amended, and the rules and regulations thereunder as in effect on the date of the indenture.</w:t>
      </w:r>
    </w:p>
    <w:p>
      <w:pPr>
        <w:spacing w:after="0" w:line="77" w:lineRule="exact"/>
        <w:rPr>
          <w:sz w:val="20"/>
          <w:szCs w:val="20"/>
          <w:color w:val="auto"/>
        </w:rPr>
      </w:pPr>
    </w:p>
    <w:p>
      <w:pPr>
        <w:ind w:left="1140" w:right="163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UAL</w:t>
      </w:r>
      <w:r>
        <w:rPr>
          <w:rFonts w:ascii="Times New Roman" w:cs="Times New Roman" w:eastAsia="Times New Roman" w:hAnsi="Times New Roman"/>
          <w:sz w:val="15"/>
          <w:szCs w:val="15"/>
          <w:color w:val="auto"/>
        </w:rPr>
        <w:t>” means United Airlines Holdings, Inc., a Delaware corporation formerly known as United Continental Holdings, Inc.</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United</w:t>
      </w:r>
      <w:r>
        <w:rPr>
          <w:rFonts w:ascii="Times New Roman" w:cs="Times New Roman" w:eastAsia="Times New Roman" w:hAnsi="Times New Roman"/>
          <w:sz w:val="15"/>
          <w:szCs w:val="15"/>
          <w:color w:val="auto"/>
        </w:rPr>
        <w:t>” means United Airlines, Inc., a Delaware corporation.</w:t>
      </w:r>
    </w:p>
    <w:p>
      <w:pPr>
        <w:spacing w:after="0" w:line="126" w:lineRule="exact"/>
        <w:rPr>
          <w:sz w:val="20"/>
          <w:szCs w:val="20"/>
          <w:color w:val="auto"/>
        </w:rPr>
      </w:pPr>
    </w:p>
    <w:p>
      <w:pPr>
        <w:ind w:left="1140" w:right="1279" w:firstLine="29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Voting Stock</w:t>
      </w:r>
      <w:r>
        <w:rPr>
          <w:rFonts w:ascii="Times New Roman" w:cs="Times New Roman" w:eastAsia="Times New Roman" w:hAnsi="Times New Roman"/>
          <w:sz w:val="15"/>
          <w:szCs w:val="15"/>
          <w:color w:val="auto"/>
        </w:rPr>
        <w:t>” of any specified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U.S. FEDERAL TAX CONSIDERATIONS</w:t>
      </w:r>
    </w:p>
    <w:p>
      <w:pPr>
        <w:spacing w:after="0" w:line="128"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The following summary discusses certain material U.S. federal income tax considerations, in the case of U.S. holders (as defined below) certain Medicare tax considerations, and in the case of non-U.S. holders (as defined below) certain estate tax considerations, relating to the purchase, ownership and disposition of the notes. Except where noted, this summary deals only with notes held as capital assets and is applicable only to initial purchasers of notes who purchased the notes at their initial offering price. Additionally, this summary does not deal with special situations. For example, this summary does not address:</w:t>
      </w:r>
    </w:p>
    <w:p>
      <w:pPr>
        <w:spacing w:after="0" w:line="70" w:lineRule="exact"/>
        <w:rPr>
          <w:sz w:val="20"/>
          <w:szCs w:val="20"/>
          <w:color w:val="auto"/>
        </w:rPr>
      </w:pPr>
    </w:p>
    <w:p>
      <w:pPr>
        <w:ind w:left="1580" w:right="1159" w:hanging="138"/>
        <w:spacing w:after="0" w:line="249"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holders who may be subject to special tax treatment, such as brokers and dealers in securities or currencies, financial institutions, insurance companies, tax-exempt entities, controlled foreign corporations, passive foreign investment companies, regulated investment companies, persons required to accelerate the recognition of any item of gross income with respect to the notes as a result of such income being recognized on an applicable financial statement, real estate investment trusts, traders in securities that elect to use a mark-to-market method of accounting for their securities holdings or U.S. holders that hold their notes through non-U.S. brokers or other non-U.S. intermediaries;</w:t>
      </w:r>
    </w:p>
    <w:p>
      <w:pPr>
        <w:spacing w:after="0" w:line="259" w:lineRule="exact"/>
        <w:rPr>
          <w:rFonts w:ascii="Times New Roman" w:cs="Times New Roman" w:eastAsia="Times New Roman" w:hAnsi="Times New Roman"/>
          <w:sz w:val="15"/>
          <w:szCs w:val="15"/>
          <w:color w:val="auto"/>
        </w:rPr>
      </w:pPr>
    </w:p>
    <w:p>
      <w:pPr>
        <w:ind w:left="1580" w:right="169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persons holding notes as part of a hedging, integrated, constructive sale, conversion or other risk-reduction transaction or a straddle;</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consequences to U.S. holders (as defined below) of notes whose “functional currency” is not the U.S. dollar;</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alternative minimum tax consequences, if any;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state, local or foreign tax consequences; or</w:t>
      </w:r>
    </w:p>
    <w:p>
      <w:pPr>
        <w:spacing w:after="0" w:line="92"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within the UAL expanded group, within the meaning of the U.S. Treasury regulations promulgated under Section 385 of the Internal Revenue Code of 1986, as amended (the “Code”), and a person who purchases or otherwise acquires a note from such person.</w:t>
      </w:r>
    </w:p>
    <w:p>
      <w:pPr>
        <w:spacing w:after="0" w:line="95" w:lineRule="exact"/>
        <w:rPr>
          <w:sz w:val="20"/>
          <w:szCs w:val="20"/>
          <w:color w:val="auto"/>
        </w:rPr>
      </w:pPr>
    </w:p>
    <w:p>
      <w:pPr>
        <w:ind w:left="1140" w:right="1259" w:firstLine="294"/>
        <w:spacing w:after="0" w:line="254" w:lineRule="auto"/>
        <w:rPr>
          <w:sz w:val="20"/>
          <w:szCs w:val="20"/>
          <w:color w:val="auto"/>
        </w:rPr>
      </w:pPr>
      <w:r>
        <w:rPr>
          <w:rFonts w:ascii="Times New Roman" w:cs="Times New Roman" w:eastAsia="Times New Roman" w:hAnsi="Times New Roman"/>
          <w:sz w:val="15"/>
          <w:szCs w:val="15"/>
          <w:color w:val="auto"/>
        </w:rPr>
        <w:t>The discussion below is based upon the provisions of the Code, and existing and proposed Treasury regulations, administrative rulings and judicial decisions, all as of the date hereof. Any of those authorities may be changed or subject to differing interpretations, possibly with retroactive effect, which may result in U.S. federal income tax consequences different from those described herein.</w:t>
      </w:r>
    </w:p>
    <w:p>
      <w:pPr>
        <w:spacing w:after="0" w:line="98" w:lineRule="exact"/>
        <w:rPr>
          <w:sz w:val="20"/>
          <w:szCs w:val="20"/>
          <w:color w:val="auto"/>
        </w:rPr>
      </w:pPr>
    </w:p>
    <w:p>
      <w:pPr>
        <w:ind w:left="1140" w:right="1219" w:firstLine="294"/>
        <w:spacing w:after="0" w:line="252" w:lineRule="auto"/>
        <w:rPr>
          <w:sz w:val="20"/>
          <w:szCs w:val="20"/>
          <w:color w:val="auto"/>
        </w:rPr>
      </w:pPr>
      <w:r>
        <w:rPr>
          <w:rFonts w:ascii="Times New Roman" w:cs="Times New Roman" w:eastAsia="Times New Roman" w:hAnsi="Times New Roman"/>
          <w:sz w:val="15"/>
          <w:szCs w:val="15"/>
          <w:color w:val="auto"/>
        </w:rPr>
        <w:t>If a partnership (or other entity treated as a partnership for U.S. federal income tax purposes) holds our notes, the tax treatment of a partner in the partnership will generally depend upon the status of the partner and the activities of the partnership. If you are a partner of a partnership (or other entity treated as a partnership for U.S. federal income tax purposes) holding our notes, you should consult your tax advisors regarding the tax consequences to you in light of your particular situation.</w:t>
      </w:r>
    </w:p>
    <w:p>
      <w:pPr>
        <w:spacing w:after="0" w:line="88" w:lineRule="exact"/>
        <w:rPr>
          <w:sz w:val="20"/>
          <w:szCs w:val="20"/>
          <w:color w:val="auto"/>
        </w:rPr>
      </w:pPr>
    </w:p>
    <w:p>
      <w:pPr>
        <w:ind w:left="1140" w:right="1459" w:firstLine="294"/>
        <w:spacing w:after="0" w:line="254" w:lineRule="auto"/>
        <w:rPr>
          <w:sz w:val="20"/>
          <w:szCs w:val="20"/>
          <w:color w:val="auto"/>
        </w:rPr>
      </w:pPr>
      <w:r>
        <w:rPr>
          <w:rFonts w:ascii="Times New Roman" w:cs="Times New Roman" w:eastAsia="Times New Roman" w:hAnsi="Times New Roman"/>
          <w:sz w:val="15"/>
          <w:szCs w:val="15"/>
          <w:color w:val="auto"/>
        </w:rPr>
        <w:t>IF YOU ARE CONSIDERING THE PURCHASE OF NOTES, YOU ARE URGED TO CONSULT YOUR OWN TAX ADVISORS CONCERNING THE U.S. FEDERAL INCOME AND ESTATE TAX CONSEQUENCES TO YOU AND ANY CONSEQUENCES ARISING UNDER THE LAWS OF ANY STATE, LOCAL, FOREIGN OR OTHER TAXING JURISDICTION.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Consequences to U.S. Holders</w:t>
      </w:r>
    </w:p>
    <w:p>
      <w:pPr>
        <w:spacing w:after="0" w:line="128" w:lineRule="exact"/>
        <w:rPr>
          <w:sz w:val="20"/>
          <w:szCs w:val="20"/>
          <w:color w:val="auto"/>
        </w:rPr>
      </w:pPr>
    </w:p>
    <w:p>
      <w:pPr>
        <w:ind w:left="1140" w:right="1299" w:firstLine="294"/>
        <w:spacing w:after="0" w:line="248" w:lineRule="auto"/>
        <w:rPr>
          <w:sz w:val="20"/>
          <w:szCs w:val="20"/>
          <w:color w:val="auto"/>
        </w:rPr>
      </w:pPr>
      <w:r>
        <w:rPr>
          <w:rFonts w:ascii="Times New Roman" w:cs="Times New Roman" w:eastAsia="Times New Roman" w:hAnsi="Times New Roman"/>
          <w:sz w:val="15"/>
          <w:szCs w:val="15"/>
          <w:color w:val="auto"/>
        </w:rPr>
        <w:t>The following is a summary of the U.S. federal income tax consequences that will apply to you if you are a U.S. holder of notes. Certain consequences to “non-U.S. holders” of notes are described under</w:t>
      </w:r>
    </w:p>
    <w:p>
      <w:pPr>
        <w:ind w:left="1140"/>
        <w:spacing w:after="0" w:line="232" w:lineRule="auto"/>
        <w:rPr>
          <w:sz w:val="20"/>
          <w:szCs w:val="20"/>
          <w:color w:val="auto"/>
        </w:rPr>
      </w:pPr>
      <w:r>
        <w:rPr>
          <w:rFonts w:ascii="Times New Roman" w:cs="Times New Roman" w:eastAsia="Times New Roman" w:hAnsi="Times New Roman"/>
          <w:sz w:val="15"/>
          <w:szCs w:val="15"/>
          <w:color w:val="auto"/>
        </w:rPr>
        <w:t>“— Consequences to Non-U.S. Holders” below. “U.S. holder” means a beneficial owner of a note that is for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U.S. federal income tax purposes:</w:t>
      </w:r>
    </w:p>
    <w:p>
      <w:pPr>
        <w:spacing w:after="0" w:line="65" w:lineRule="exact"/>
        <w:rPr>
          <w:sz w:val="20"/>
          <w:szCs w:val="20"/>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alien of the U.S.;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U.S. federal income tax purposes created or organized in or under the laws of the U.S., any state therein or the District of Columbia;</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taxation regardless of its source; or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580" w:right="1319" w:hanging="138"/>
        <w:spacing w:after="0" w:line="254"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(1) it is subject to the primary supervision of a court within the U.S. and one or more U.S. persons have the authority to control all substantial decisions of the trust, or (2) it was in existence on August 20, 1996 and treated as a U.S. person and has a valid election in effect under applicable U.S. Treasury regulations to continue to be treated as a U.S. person.</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Interest and OID on the Notes</w:t>
      </w:r>
    </w:p>
    <w:p>
      <w:pPr>
        <w:spacing w:after="0" w:line="130" w:lineRule="exact"/>
        <w:rPr>
          <w:sz w:val="20"/>
          <w:szCs w:val="20"/>
          <w:color w:val="auto"/>
        </w:rPr>
      </w:pPr>
    </w:p>
    <w:p>
      <w:pPr>
        <w:ind w:left="1140" w:right="1439" w:firstLine="294"/>
        <w:spacing w:after="0" w:line="251" w:lineRule="auto"/>
        <w:rPr>
          <w:sz w:val="20"/>
          <w:szCs w:val="20"/>
          <w:color w:val="auto"/>
        </w:rPr>
      </w:pPr>
      <w:r>
        <w:rPr>
          <w:rFonts w:ascii="Times New Roman" w:cs="Times New Roman" w:eastAsia="Times New Roman" w:hAnsi="Times New Roman"/>
          <w:sz w:val="15"/>
          <w:szCs w:val="15"/>
          <w:color w:val="auto"/>
        </w:rPr>
        <w:t>Payments of stated interest on the notes generally will be subject to U.S. federal income taxation as ordinary income at the time such payments accrue or are received, in accordance with your method of accounting for tax purposes.</w:t>
      </w:r>
    </w:p>
    <w:p>
      <w:pPr>
        <w:spacing w:after="0" w:line="8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The notes would be treated as issued with OID if the stated principal amount of the notes exceeds their issue price by more than a statutorily defined de minimis amount. The issue price of the notes is the first price at which a substantial amount of the notes is sold for cash, other than to bond houses, brokers or similar persons or organizations acting in the capacity of underwriters, placement agents or wholesalers. The amount of such OID is the excess of the stated principal amount of the notes over their issue price.</w:t>
      </w:r>
    </w:p>
    <w:p>
      <w:pPr>
        <w:spacing w:after="0" w:line="98"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If the notes are issued with more than a de minimis amount of OID, a U.S. holder generally will be required to include the OID in income (as ordinary income) for U.S. federal income tax purposes as it accrues (regardless of the U.S. holder’s accounting method for U.S. federal income tax purposes), in accordance with a constant yield method based on a compounding of interest, before the receipt of cash payments attributable to this income. Under this method, a U.S. holder of the notes generally will be required to include in income increasingly greater amounts of OID in successive accrual periods. The notes are not expected to be treated as issued with OID and the following discussion assumes this to be the case.</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Change of Control Premium</w:t>
      </w:r>
    </w:p>
    <w:p>
      <w:pPr>
        <w:spacing w:after="0" w:line="130"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In certain circumstances (see “Description of Notes — Certain Covenants — Offer to Repurchase Upon a Change of Control Triggering Event”), we may be obligated to pay a change of control premium on the notes. This obligation may implicate the provisions of Treasury regulations relating to “contingent payment debt instruments.” We intend to take the position that the contingency that such payment will be made is</w:t>
      </w:r>
    </w:p>
    <w:p>
      <w:pPr>
        <w:spacing w:after="0" w:line="2" w:lineRule="exact"/>
        <w:rPr>
          <w:sz w:val="20"/>
          <w:szCs w:val="20"/>
          <w:color w:val="auto"/>
        </w:rPr>
      </w:pPr>
    </w:p>
    <w:p>
      <w:pPr>
        <w:ind w:left="1140" w:right="1299"/>
        <w:spacing w:after="0" w:line="236" w:lineRule="auto"/>
        <w:rPr>
          <w:sz w:val="20"/>
          <w:szCs w:val="20"/>
          <w:color w:val="auto"/>
        </w:rPr>
      </w:pPr>
      <w:r>
        <w:rPr>
          <w:rFonts w:ascii="Times New Roman" w:cs="Times New Roman" w:eastAsia="Times New Roman" w:hAnsi="Times New Roman"/>
          <w:sz w:val="15"/>
          <w:szCs w:val="15"/>
          <w:color w:val="auto"/>
        </w:rPr>
        <w:t>“remote” or “incidental” (within​ the meaning of applicable Treasury regulations) and therefore that the notes are not subject to the rules governing contingent payment debt instruments. Although not entirely clear, under our position, any change of control premium likely will be taxable to a U.S. holder as capital gain rather than ordinary income when received or accrued, according to such U.S. holder’s method of accounting for U.S. federal income tax purposes. If our position was found to be incorrect and the notes were deemed to be contingent payment debt instruments, a U.S. holder might, among other things, be required to treat any gain recognized on the sale or other disposition of a note as ordinary income rather than capital gain and might be required to report the change of control premium as income when it accrues or becomes fixed, even if such U.S. holder is a cash method taxpayer. The remainder of this discussion assumes that the notes are not treated as contingent payment debt instruments.</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Sale, Redemption or Other Disposition of Notes</w:t>
      </w:r>
    </w:p>
    <w:p>
      <w:pPr>
        <w:spacing w:after="0" w:line="13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You will generally recognize gain or loss upon the sale, redemption or other taxable disposition of a note equal to the difference between the amount realized upon the sale, redemption or other taxable disposition (except to the extent of any accrued but unpaid interest which is required to be treated as interest income) and your adjusted tax basis in the note. Your adjusted tax basis in a note will generally be equal to the amount paid for the note. Any gain or loss recognized on a taxable disposition of the note will be capital gain or loss and will be long-term if you have held the note for more than one year. Long-term capital gains of non-corporate U.S. holders are currently taxed at a lower rate than ordinary income. The deductibility of net capital losses is subject to limitations.</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3.8% Medicare tax on “Net Investment Income”</w:t>
      </w:r>
    </w:p>
    <w:p>
      <w:pPr>
        <w:spacing w:after="0" w:line="119"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U.S. holders that are individuals, estates, and certain trusts are subject to an additional 3.8% tax on all or a portion of their “net investment income,” which may include the interest payments and any gain realized with respect to the notes, to the extent of their net investment income that, when added to their other modified adjusted gross income, exceeds $200,000 for an unmarried individual, estate or trust, $250,000 for</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40" w:right="1219"/>
        <w:spacing w:after="0" w:line="256" w:lineRule="auto"/>
        <w:rPr>
          <w:sz w:val="20"/>
          <w:szCs w:val="20"/>
          <w:color w:val="auto"/>
        </w:rPr>
      </w:pPr>
      <w:r>
        <w:rPr>
          <w:rFonts w:ascii="Times New Roman" w:cs="Times New Roman" w:eastAsia="Times New Roman" w:hAnsi="Times New Roman"/>
          <w:sz w:val="15"/>
          <w:szCs w:val="15"/>
          <w:color w:val="auto"/>
        </w:rPr>
        <w:t>a married taxpayer filing a joint return (or a surviving spouse), or $125,000 for a married individual filing a separate return. U.S. holders should consult their own tax advisors with respect to the 3.8% Medicare tax.</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Consequences to Non-U.S. Holders</w:t>
      </w:r>
    </w:p>
    <w:p>
      <w:pPr>
        <w:spacing w:after="0" w:line="105" w:lineRule="exact"/>
        <w:rPr>
          <w:sz w:val="20"/>
          <w:szCs w:val="20"/>
          <w:color w:val="auto"/>
        </w:rPr>
      </w:pPr>
    </w:p>
    <w:p>
      <w:pPr>
        <w:ind w:left="1140" w:right="1279" w:firstLine="294"/>
        <w:spacing w:after="0" w:line="233" w:lineRule="auto"/>
        <w:rPr>
          <w:sz w:val="20"/>
          <w:szCs w:val="20"/>
          <w:color w:val="auto"/>
        </w:rPr>
      </w:pPr>
      <w:r>
        <w:rPr>
          <w:rFonts w:ascii="Times New Roman" w:cs="Times New Roman" w:eastAsia="Times New Roman" w:hAnsi="Times New Roman"/>
          <w:sz w:val="15"/>
          <w:szCs w:val="15"/>
          <w:color w:val="auto"/>
        </w:rPr>
        <w:t>The following is a summary of the U.S. federal tax consequences that will apply to you if you are a non-U.S. holder of notes. The term “non-U.S. holder” means a beneficial owner of a note that is not a U.S. holder or a partnership (or other entity treated as a partnership for U.S. federal income tax purposes). Special rules may apply to certain non-U.S. holders such as “controlled foreign corporations” and “passive foreign investment companies.” Such entities should consult their own tax advisors to determine the U.S. federal, state, local and other tax consequences that may be relevant to them.</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Interest on the Notes</w:t>
      </w:r>
    </w:p>
    <w:p>
      <w:pPr>
        <w:spacing w:after="0" w:line="119"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Subject to the discussions of backup withholding and FATCA below, U.S. federal withholding tax will not apply to any payment to you of principal or interest on a note under the “portfolio interest rule,” provided that:</w:t>
      </w:r>
    </w:p>
    <w:p>
      <w:pPr>
        <w:spacing w:after="0" w:line="63" w:lineRule="exact"/>
        <w:rPr>
          <w:sz w:val="20"/>
          <w:szCs w:val="20"/>
          <w:color w:val="auto"/>
        </w:rPr>
      </w:pPr>
    </w:p>
    <w:p>
      <w:pPr>
        <w:jc w:val="both"/>
        <w:ind w:left="1580" w:right="141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do not actually or constructively own 10% or more of the total combined voting power of all classes of our stock that are entitled to vote within the meaning of Section 871(h)(3) of the Code;</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not a controlled foreign corporation that is related to us (actually or constructively) through stock ownership;</w:t>
      </w:r>
    </w:p>
    <w:p>
      <w:pPr>
        <w:spacing w:after="0" w:line="40"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not a bank whose receipt of interest on a note is described in Section 881(c)(3)(A) of the Code; and</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comply with certification requirements.</w:t>
      </w:r>
    </w:p>
    <w:p>
      <w:pPr>
        <w:spacing w:after="0" w:line="126"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If you cannot satisfy the requirements described above, payments of interest will be subject to a 30% U.S. federal withholding tax, unless you provide us with a properly executed (1) IRS Form W-8BEN or W-8BEN-E (or successor form) claiming an exemption from or reduction in withholding under the benefit of an applicable income tax treaty or (2) IRS Form W-8ECI (or successor form) stating that interest paid on the note is not subject to withholding tax because it is effectively connected with your conduct of a trade or business in the U.S.</w:t>
      </w:r>
    </w:p>
    <w:p>
      <w:pPr>
        <w:spacing w:after="0" w:line="10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If you are engaged in a trade or business in the U.S. and interest on a note is effectively connected with the conduct of that trade or business (and, if an income tax treaty applies, generally is attributable to a U.S. permanent establishment maintained by you), you will be subject to U.S. federal income tax on that interest on a net income basis (although exempt from the 30% withholding tax) generally in the same manner as if you were a U.S. holder. In addition, if you are a foreign corporation, you may be subject to a branch profits tax equal to 30% (subject to possible exemption or reduction pursuant to an applicable income tax treaty) of your earnings and profits for the taxable year, subject to adjustments, that are effectively connected with your conduct of a trade or business in the U.S.</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Sale, Redemption or Other Disposition of Notes</w:t>
      </w:r>
    </w:p>
    <w:p>
      <w:pPr>
        <w:spacing w:after="0" w:line="130"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Any gain realized upon the sale, exchange, redemption or other disposition of a note generally will not be subject to U.S. federal income tax unless:</w:t>
      </w:r>
    </w:p>
    <w:p>
      <w:pPr>
        <w:spacing w:after="0" w:line="52" w:lineRule="exact"/>
        <w:rPr>
          <w:sz w:val="20"/>
          <w:szCs w:val="20"/>
          <w:color w:val="auto"/>
        </w:rPr>
      </w:pPr>
    </w:p>
    <w:p>
      <w:pPr>
        <w:ind w:left="1580" w:right="1519" w:hanging="138"/>
        <w:spacing w:after="0" w:line="258"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gain is effectively connected with your conduct of a trade or business in the U.S. (and, if required by an applicable income tax treaty, is attributable to a U.S. permanent establishment or fixed base); or</w:t>
      </w:r>
    </w:p>
    <w:p>
      <w:pPr>
        <w:spacing w:after="0" w:line="50" w:lineRule="exact"/>
        <w:rPr>
          <w:rFonts w:ascii="Times New Roman" w:cs="Times New Roman" w:eastAsia="Times New Roman" w:hAnsi="Times New Roman"/>
          <w:sz w:val="15"/>
          <w:szCs w:val="15"/>
          <w:color w:val="auto"/>
        </w:rPr>
      </w:pPr>
    </w:p>
    <w:p>
      <w:pPr>
        <w:ind w:left="1580" w:right="153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an individual who is present in the U.S. for 183 days or more in the taxable year of that disposition, and certain other conditions are met.</w:t>
      </w:r>
    </w:p>
    <w:p>
      <w:pPr>
        <w:spacing w:after="0" w:line="85"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An individual non -U.S. holder described in the first bullet point above will be subject to U.S. federal income tax on the gain derived from the sale on a net income basis. An individual non-U.S. holder described in the second bullet point above will be subject to a flat 30% U.S. federal income tax on the gain derived from the sale, which may be offset by U.S. source capital losses, even though the holder is not considered a resident of the U.S. A non-U.S. holder that is a foreign corporation and is described in the first bullet point</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4" w:lineRule="auto"/>
        <w:rPr>
          <w:sz w:val="20"/>
          <w:szCs w:val="20"/>
          <w:color w:val="auto"/>
        </w:rPr>
      </w:pPr>
      <w:r>
        <w:rPr>
          <w:rFonts w:ascii="Times New Roman" w:cs="Times New Roman" w:eastAsia="Times New Roman" w:hAnsi="Times New Roman"/>
          <w:sz w:val="15"/>
          <w:szCs w:val="15"/>
          <w:color w:val="auto"/>
        </w:rPr>
        <w:t>above will be subject to tax on gain at regular graduated U.S. federal income tax rates and, in addition, may be subject to a branch profits tax at a 30% rate or a lower rate if so specified by an applicable income tax treaty.</w:t>
      </w:r>
    </w:p>
    <w:p>
      <w:pPr>
        <w:spacing w:after="0" w:line="3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U.S. Federal Estate Tax</w:t>
      </w:r>
    </w:p>
    <w:p>
      <w:pPr>
        <w:spacing w:after="0" w:line="13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Your estate will not be subject to U.S. federal estate tax on notes beneficially owned by you at the time of your death, provided that any payment to you on the notes would be eligible for exemption from the 30% U.S. federal withholding tax under the “portfolio interest rule” described above under “— Interest on the Notes” without regard to the statement requirement described in the last bullet point and, at the time of your death, payments with respect to the note would not have been effectively connected with the conduct by you of a trade or business in the U.S.</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30"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Backup withholding and information reporting requirements may apply to certain payments of principal, premium, if any, and interest on notes and to certain payments of proceeds of the sale or retirement of notes. We, our paying agent or certain other parties, as the case may be, will be required to withhold tax from any payment that is subject to backup withholding (currently at a rate of 24%) if the holder fails to furnish his taxpayer identification number (social security number or employer identification number), to certify that such holder is not subject to backup withholding, or to otherwise comply with the applicable requirements of the backup withholding rules. Certain holders (including, among others, corporations) are not subject to the backup withholding and information reporting requirements.</w:t>
      </w:r>
    </w:p>
    <w:p>
      <w:pPr>
        <w:spacing w:after="0" w:line="10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Backup withholding and information reporting generally will not apply to payments made by us or our agent (in its capacity as such) to a holder of notes who has provided the required certification under penalties of perjury that such holder is not a U.S. person as set forth in the fourth bullet point under “— Consequences to Non-U.S. Holders — Interest on the Notes” or has otherwise established an exemption (provided that neither we nor such agent has actual knowledge or reason to know that the holder is a U.S. person or that the conditions of any other exemption are not in fact satisfied). However, we and other payors may be required to report payments of interest on your notes on IRS Form 1042-S even if the payments are not otherwise subject to information reporting requirements.</w:t>
      </w:r>
    </w:p>
    <w:p>
      <w:pPr>
        <w:spacing w:after="0" w:line="10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from a payment to a holder may be claimed as a credit against such holder’s U.S. federal income tax liability and, if withholding results in an overpayment of tax, the holder may be entitled to a refund, provided the required information is timely furnished to the IRS. Holders should consult their own tax advisors regarding the filing of a U.S. tax return and the claiming of a credit or refund of such backup withholding taxes.</w:t>
      </w:r>
    </w:p>
    <w:p>
      <w:pPr>
        <w:spacing w:after="0" w:line="3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Foreign Account Tax Compliance Act</w:t>
      </w:r>
    </w:p>
    <w:p>
      <w:pPr>
        <w:spacing w:after="0" w:line="130"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Certain sections of the Code commonly known as the Foreign Account Tax Compliance Act (generally referred to as “FATCA”), when applicable, impose a withholding tax of 30% on U.S. source interest on debt obligations paid to (i) a foreign financial institution, as defined for purposes of FATCA (whether as a beneficial owner or an intermediary), unless (a)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(b) such institution is resident in a country that has entered into an intergovernmental agreement with the U.S. regarding the exchange of certain information with respect to U.S. account holders and complies with local legislation enacted to give effect to such agreement, or (c) such institution otherwise establishes an exemption from FATCA withholding or (ii) a foreign entity that is not a financial institution, unless such entity provides the withholding agent with a certification identifying the substantial U.S. owners of the entity, which generally includes any U.S. person who directly or indirectly owns more than 10% of the entity, or otherwise establishes an exemption from FATCA withholding.</w:t>
      </w:r>
    </w:p>
    <w:p>
      <w:pPr>
        <w:spacing w:after="0" w:line="99" w:lineRule="exact"/>
        <w:rPr>
          <w:sz w:val="20"/>
          <w:szCs w:val="20"/>
          <w:color w:val="auto"/>
        </w:rPr>
      </w:pPr>
    </w:p>
    <w:p>
      <w:pPr>
        <w:ind w:left="1140" w:right="1339" w:firstLine="294"/>
        <w:spacing w:after="0" w:line="256" w:lineRule="auto"/>
        <w:rPr>
          <w:sz w:val="20"/>
          <w:szCs w:val="20"/>
          <w:color w:val="auto"/>
        </w:rPr>
      </w:pPr>
      <w:r>
        <w:rPr>
          <w:rFonts w:ascii="Times New Roman" w:cs="Times New Roman" w:eastAsia="Times New Roman" w:hAnsi="Times New Roman"/>
          <w:sz w:val="15"/>
          <w:szCs w:val="15"/>
          <w:color w:val="auto"/>
        </w:rPr>
        <w:t>Investors are encouraged to consult with their own tax advisors regarding the implications of FATCA on their investment in the notes.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ERISA CONSIDERATIONS</w:t>
      </w:r>
    </w:p>
    <w:p>
      <w:pPr>
        <w:spacing w:after="0" w:line="12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The following is a summary of certain considerations associated with the purchase of the notes by employee benefit plans that are subject to Title I of the Employee Retirement Income Security Act of 1974, as amended (“ERISA”), plans, individual retirement accounts and other arrangements that are subject to Section 4975 of the Code or provisions under any federal, state, local, non-U.S. or other laws or regulations that are similar to such provisions of the Code or ERISA (collectively, “Similar Laws”), and entities whose underlying assets are considered to include “plan assets” of such plans, accounts and arrangements (each, a “Plan”).</w:t>
      </w: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 Fiduciary Matters</w:t>
      </w:r>
    </w:p>
    <w:p>
      <w:pPr>
        <w:spacing w:after="0" w:line="128"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specified parties. Under ERISA and the Code, any person who exercises any discretionary authority or control over the administration of an ERISA Plan or the management or disposition of the assets of an ERISA Plan, or who renders investment advice for a fee or other compensation (direct or indirect) to an ERISA Plan, is generally considered to be a fiduciary of the ERISA Plan.</w:t>
      </w:r>
    </w:p>
    <w:p>
      <w:pPr>
        <w:spacing w:after="0" w:line="89" w:lineRule="exact"/>
        <w:rPr>
          <w:sz w:val="20"/>
          <w:szCs w:val="20"/>
          <w:color w:val="auto"/>
        </w:rPr>
      </w:pPr>
    </w:p>
    <w:p>
      <w:pPr>
        <w:ind w:left="1140" w:right="1279" w:firstLine="294"/>
        <w:spacing w:after="0" w:line="252" w:lineRule="auto"/>
        <w:rPr>
          <w:sz w:val="20"/>
          <w:szCs w:val="20"/>
          <w:color w:val="auto"/>
        </w:rPr>
      </w:pPr>
      <w:r>
        <w:rPr>
          <w:rFonts w:ascii="Times New Roman" w:cs="Times New Roman" w:eastAsia="Times New Roman" w:hAnsi="Times New Roman"/>
          <w:sz w:val="15"/>
          <w:szCs w:val="15"/>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and prohibited transaction provisions of ERISA, the Code and any other applicable Similar Laws.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Prohibited Transaction Issues</w:t>
      </w:r>
    </w:p>
    <w:p>
      <w:pPr>
        <w:spacing w:after="0" w:line="128"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a Plan subject to Title I of ERISA which engages in such a non-exempt prohibited transaction may be subject to liabilities under ERISA.</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The acquisition and/or holding of the notes by an ERISA Plan with respect to which UAL, United, an underwriter or certain of our or their affiliates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 this regard, the U.S. Department of Labor (“DOL”)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insurance company general accounts and PTCE 96-23 respecting transactions determined by in-house asset managers. In addition, the exemption pursuant to Section 4975(d)(20) of the Code and Section 408(b)(17) of ERISA respecting transactions with service providers (other than certain fiduciaries) for adequate consideration may apply to the acquisition and holding of the notes by such service providers. There can be no assurance that all of the conditions of any such exemptions will be satisfied.</w:t>
      </w:r>
    </w:p>
    <w:p>
      <w:pPr>
        <w:spacing w:after="0" w:line="99" w:lineRule="exact"/>
        <w:rPr>
          <w:sz w:val="20"/>
          <w:szCs w:val="20"/>
          <w:color w:val="auto"/>
        </w:rPr>
      </w:pPr>
    </w:p>
    <w:p>
      <w:pPr>
        <w:ind w:left="1140" w:right="1519" w:firstLine="294"/>
        <w:spacing w:after="0" w:line="251" w:lineRule="auto"/>
        <w:rPr>
          <w:sz w:val="20"/>
          <w:szCs w:val="20"/>
          <w:color w:val="auto"/>
        </w:rPr>
      </w:pPr>
      <w:r>
        <w:rPr>
          <w:rFonts w:ascii="Times New Roman" w:cs="Times New Roman" w:eastAsia="Times New Roman" w:hAnsi="Times New Roman"/>
          <w:sz w:val="15"/>
          <w:szCs w:val="15"/>
          <w:color w:val="auto"/>
        </w:rPr>
        <w:t>Because of the foregoing, the notes should not be purchased or held by any person investing “plan assets” of any Plan, unless such purchase and holding will not constitute a non-exempt prohibited transaction under ERISA and the Code or similar violation of any applicable Similar Laws.</w:t>
      </w:r>
    </w:p>
    <w:p>
      <w:pPr>
        <w:spacing w:after="0" w:line="88" w:lineRule="exact"/>
        <w:rPr>
          <w:sz w:val="20"/>
          <w:szCs w:val="20"/>
          <w:color w:val="auto"/>
        </w:rPr>
      </w:pPr>
    </w:p>
    <w:p>
      <w:pPr>
        <w:jc w:val="both"/>
        <w:ind w:left="1140" w:right="1319" w:firstLine="294"/>
        <w:spacing w:after="0" w:line="244" w:lineRule="auto"/>
        <w:rPr>
          <w:sz w:val="20"/>
          <w:szCs w:val="20"/>
          <w:color w:val="auto"/>
        </w:rPr>
      </w:pPr>
      <w:r>
        <w:rPr>
          <w:rFonts w:ascii="Times New Roman" w:cs="Times New Roman" w:eastAsia="Times New Roman" w:hAnsi="Times New Roman"/>
          <w:sz w:val="15"/>
          <w:szCs w:val="15"/>
          <w:color w:val="auto"/>
        </w:rPr>
        <w:t>By acceptance of the notes, each purchaser and subsequent transferee of the notes will be deemed to have represented and warranted that either (i) such purchaser or transferee is not a Plan and no portion of the assets used by such purchaser or transferee to acquire and hold the notes constitutes assets of any Plan or</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firstLine="8"/>
        <w:spacing w:after="0" w:line="251" w:lineRule="auto"/>
        <w:tabs>
          <w:tab w:leader="none" w:pos="1371"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and holding of the notes by such purchaser or transferee will not constitute a non-exempt prohibited transaction under Section 406 of ERISA or Section 4975 of the Code or a violation of any applicable Similar Law.</w:t>
      </w:r>
    </w:p>
    <w:p>
      <w:pPr>
        <w:spacing w:after="0" w:line="8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If the purchaser or transferee of a note or an interest therein is a Plan subject to ERISA or Section 4975 of the Code, it will be deemed to represent, warrant and agree that (i) none of UAL, United,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w:t>
      </w:r>
    </w:p>
    <w:p>
      <w:pPr>
        <w:spacing w:after="0" w:line="99"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legal counsel regarding the potential applicability of ERISA, Section 4975 of the Code and any Similar Laws to such investment and whether an exemption would be applicable to the purchase and holding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28"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Under the terms and subject to the conditions contained in an underwriting agreement dated the date of this prospectus supplement, the underwriters named below have agreed, severally and not jointly, to purchase, and we have agreed to sell to them, the principal amount of notes set forth opposite their names below:</w:t>
      </w: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40" w:type="dxa"/>
            <w:vAlign w:val="bottom"/>
          </w:tcPr>
          <w:p>
            <w:pPr>
              <w:spacing w:after="0"/>
              <w:rPr>
                <w:sz w:val="12"/>
                <w:szCs w:val="12"/>
                <w:color w:val="auto"/>
              </w:rPr>
            </w:pPr>
          </w:p>
        </w:tc>
      </w:tr>
      <w:tr>
        <w:trPr>
          <w:trHeight w:val="174"/>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Underwriters</w:t>
            </w:r>
          </w:p>
        </w:tc>
        <w:tc>
          <w:tcPr>
            <w:tcW w:w="1120" w:type="dxa"/>
            <w:vAlign w:val="bottom"/>
            <w:gridSpan w:val="2"/>
          </w:tcPr>
          <w:p>
            <w:pPr>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amount of notes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5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Barclays Capital Inc.</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BofA Securities, Inc.</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12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1,000,000,000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-440690</wp:posOffset>
            </wp:positionV>
            <wp:extent cx="1123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3"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are subject to the approval of certain legal matters by their counsel and to certain other conditions. The underwriters reserve the right to withdraw, cancel or modify offers to the public and to reject orders in whole or in part. The underwriters are obligated to take and pay for all of the notes offered by this prospectus if any such notes are taken. If an underwriter defaults, the underwriting agreement provides that the purchase commitments of the non-defaulting underwriters may be increased or the underwriting agreement may be terminated.</w:t>
      </w:r>
    </w:p>
    <w:p>
      <w:pPr>
        <w:spacing w:after="0" w:line="100" w:lineRule="exact"/>
        <w:rPr>
          <w:sz w:val="20"/>
          <w:szCs w:val="20"/>
          <w:color w:val="auto"/>
        </w:rPr>
      </w:pPr>
    </w:p>
    <w:p>
      <w:pPr>
        <w:ind w:left="1140" w:right="1259" w:firstLine="294"/>
        <w:spacing w:after="0" w:line="251" w:lineRule="auto"/>
        <w:rPr>
          <w:sz w:val="20"/>
          <w:szCs w:val="20"/>
          <w:color w:val="auto"/>
        </w:rPr>
      </w:pPr>
      <w:r>
        <w:rPr>
          <w:rFonts w:ascii="Times New Roman" w:cs="Times New Roman" w:eastAsia="Times New Roman" w:hAnsi="Times New Roman"/>
          <w:sz w:val="15"/>
          <w:szCs w:val="15"/>
          <w:color w:val="auto"/>
        </w:rPr>
        <w:t>The underwriters initially propose to offer the notes directly to the public at the public offering price set forth on the cover page hereof. After the initial offering of the notes, the underwriters may from time to time vary the offering price and other selling terms.</w:t>
      </w:r>
    </w:p>
    <w:p>
      <w:pPr>
        <w:spacing w:after="0" w:line="88" w:lineRule="exact"/>
        <w:rPr>
          <w:sz w:val="20"/>
          <w:szCs w:val="20"/>
          <w:color w:val="auto"/>
        </w:rPr>
      </w:pPr>
    </w:p>
    <w:p>
      <w:pPr>
        <w:ind w:left="1140" w:right="1739" w:firstLine="294"/>
        <w:spacing w:after="0" w:line="248" w:lineRule="auto"/>
        <w:rPr>
          <w:sz w:val="20"/>
          <w:szCs w:val="20"/>
          <w:color w:val="auto"/>
        </w:rPr>
      </w:pPr>
      <w:r>
        <w:rPr>
          <w:rFonts w:ascii="Times New Roman" w:cs="Times New Roman" w:eastAsia="Times New Roman" w:hAnsi="Times New Roman"/>
          <w:sz w:val="15"/>
          <w:szCs w:val="15"/>
          <w:color w:val="auto"/>
        </w:rPr>
        <w:t>The following table shows the underwriting discounts and commissions that we will pay to the underwriters in connection with this offering:</w:t>
      </w:r>
    </w:p>
    <w:tbl>
      <w:tblPr>
        <w:tblLayout w:type="fixed"/>
        <w:tblInd w:w="1440" w:type="dxa"/>
        <w:tblCellMar>
          <w:top w:w="0" w:type="dxa"/>
          <w:left w:w="0" w:type="dxa"/>
          <w:bottom w:w="0" w:type="dxa"/>
          <w:right w:w="0" w:type="dxa"/>
        </w:tblCellMar>
      </w:tblPr>
      <w:tr>
        <w:trPr>
          <w:trHeight w:val="298"/>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00" w:type="dxa"/>
            <w:vAlign w:val="bottom"/>
          </w:tcPr>
          <w:p>
            <w:pPr>
              <w:ind w:left="23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Paid by UAL </w:t>
            </w:r>
            <w:r>
              <w:rPr>
                <w:rFonts w:ascii="Times New Roman" w:cs="Times New Roman" w:eastAsia="Times New Roman" w:hAnsi="Times New Roman"/>
                <w:sz w:val="23"/>
                <w:szCs w:val="23"/>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2560" w:type="dxa"/>
            <w:vAlign w:val="bottom"/>
            <w:gridSpan w:val="2"/>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note</w:t>
            </w:r>
          </w:p>
        </w:tc>
        <w:tc>
          <w:tcPr>
            <w:tcW w:w="3240" w:type="dxa"/>
            <w:vAlign w:val="bottom"/>
            <w:gridSpan w:val="3"/>
            <w:shd w:val="clear" w:color="auto" w:fill="CCEEFF"/>
          </w:tcPr>
          <w:p>
            <w:pPr>
              <w:ind w:left="2420"/>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79"/>
              </w:rPr>
              <w:t>​</w:t>
            </w:r>
            <w:r>
              <w:rPr>
                <w:rFonts w:ascii="Times New Roman" w:cs="Times New Roman" w:eastAsia="Times New Roman" w:hAnsi="Times New Roman"/>
                <w:sz w:val="15"/>
                <w:szCs w:val="15"/>
                <w:color w:val="auto"/>
                <w:w w:val="79"/>
              </w:rPr>
              <w:t>%</w:t>
            </w:r>
          </w:p>
        </w:tc>
      </w:tr>
      <w:tr>
        <w:trPr>
          <w:trHeight w:val="221"/>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50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r>
      <w:tr>
        <w:trPr>
          <w:trHeight w:val="20"/>
        </w:trPr>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-307975</wp:posOffset>
            </wp:positionV>
            <wp:extent cx="344868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48685" cy="6985"/>
                    </a:xfrm>
                    <a:prstGeom prst="rect">
                      <a:avLst/>
                    </a:prstGeom>
                    <a:noFill/>
                  </pic:spPr>
                </pic:pic>
              </a:graphicData>
            </a:graphic>
          </wp:anchor>
        </w:drawing>
      </w:r>
    </w:p>
    <w:p>
      <w:pPr>
        <w:spacing w:after="0" w:line="153"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In order to facilitate the offering of the notes, the underwriters may engage in transactions that stabilize, maintain or otherwise affect the market price of the notes. Specifically, the underwriters may bid for, and purchase, notes on the open market. In addition, the underwriters may reclaim selling concessions allowed to an underwriter or a dealer for distributing the notes in the offering if the syndicate repurchases previously distributed notes in transactions to cover syndicate short positions, in stabilization transactions or otherwise. Any of these activities may stabilize or maintain the market price of the notes above independent market levels. The underwriters are not required to engage in these activities, and may end any of these activities at any time.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Expenses associated with this offering, not including the underwriting discount, all of which are to be paid by us, are estimated to be approximately $                .</w:t>
      </w:r>
    </w:p>
    <w:p>
      <w:pPr>
        <w:spacing w:after="0" w:line="74"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99"/>
        <w:spacing w:after="0" w:line="271" w:lineRule="auto"/>
        <w:rPr>
          <w:sz w:val="20"/>
          <w:szCs w:val="20"/>
          <w:color w:val="auto"/>
        </w:rPr>
      </w:pPr>
      <w:r>
        <w:rPr>
          <w:rFonts w:ascii="Times New Roman" w:cs="Times New Roman" w:eastAsia="Times New Roman" w:hAnsi="Times New Roman"/>
          <w:sz w:val="15"/>
          <w:szCs w:val="15"/>
          <w:color w:val="auto"/>
        </w:rPr>
        <w:t>price, depending on prevailing interest rates, the market for similar securities, our operating performance and financial condition, general economic conditions and other factors.</w:t>
      </w:r>
    </w:p>
    <w:p>
      <w:pPr>
        <w:spacing w:after="0" w:line="74"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We have agreed in the underwriting agreement that we will not, for a period of 30 days after the closing date of this offering, without the prior written consent of Barclays Capital Inc. and BofA Securities, Inc.,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UAL or United and having the term of more than one year (other than (i) the notes and the note guarantee, (ii) any equipment notes, pass through certificates, equipment trust certificates or equipment purchase certificates secured by aircraft owned by UAL (or rights relating thereto), (iii) any notes convertible into shares of common stock of UAL and</w:t>
      </w:r>
    </w:p>
    <w:p>
      <w:pPr>
        <w:spacing w:after="0" w:line="2" w:lineRule="exact"/>
        <w:rPr>
          <w:sz w:val="20"/>
          <w:szCs w:val="20"/>
          <w:color w:val="auto"/>
        </w:rPr>
      </w:pPr>
    </w:p>
    <w:p>
      <w:pPr>
        <w:ind w:left="1140" w:right="1299" w:firstLine="8"/>
        <w:spacing w:after="0" w:line="237" w:lineRule="auto"/>
        <w:tabs>
          <w:tab w:leader="none" w:pos="140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municipal bonds relating to financing or refinancing any airport facilities). In connection with the offering of our 2031 Notes, we agreed to a similar provision in the underwriting agreement. Barclays Capital Inc., as representative of the underwriters in such offering, has waived such provision to the extent necessary to permit us to offer and sell the notes offered hereby.</w:t>
      </w:r>
    </w:p>
    <w:p>
      <w:pPr>
        <w:spacing w:after="0" w:line="98" w:lineRule="exact"/>
        <w:rPr>
          <w:sz w:val="20"/>
          <w:szCs w:val="20"/>
          <w:color w:val="auto"/>
        </w:rPr>
      </w:pPr>
    </w:p>
    <w:p>
      <w:pPr>
        <w:ind w:left="1140" w:right="1359" w:firstLine="294"/>
        <w:spacing w:after="0" w:line="251" w:lineRule="auto"/>
        <w:rPr>
          <w:sz w:val="20"/>
          <w:szCs w:val="20"/>
          <w:color w:val="auto"/>
        </w:rPr>
      </w:pPr>
      <w:r>
        <w:rPr>
          <w:rFonts w:ascii="Times New Roman" w:cs="Times New Roman" w:eastAsia="Times New Roman" w:hAnsi="Times New Roman"/>
          <w:sz w:val="15"/>
          <w:szCs w:val="15"/>
          <w:color w:val="auto"/>
        </w:rPr>
        <w:t>From time to time, the several underwriters or their affiliates have performed and are performing investment banking and advisory services for, and have provided and are providing general financing and banking services to, UAL and United and their affiliates.</w:t>
      </w:r>
    </w:p>
    <w:p>
      <w:pPr>
        <w:spacing w:after="0" w:line="8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UAL and/or United.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9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UAL expects that delivery of the notes will be made against payment therefor on or about the closing date specified on the cover page of this prospectus supplement, which will be the             business day following the date hereof (this settlement cycle being referred to as T+    ). Under Rule 15c6-1 of the SEC under the Exchange Act, trades in the secondary market generally are required to settle in one business day, unless the parties to the trade expressly agree otherwise. Accordingly, purchasers who wish to trade the notes prior to the date of initial delivery of the notes may be required, by virtue of the fact that the notes initially will settle on a delayed basis, to specify an alternate settlement cycle at the time of any trade to prevent a failed settlement, and such purchasers should consult their own advisor.</w:t>
      </w:r>
    </w:p>
    <w:p>
      <w:pPr>
        <w:spacing w:after="0" w:line="100" w:lineRule="exact"/>
        <w:rPr>
          <w:sz w:val="20"/>
          <w:szCs w:val="20"/>
          <w:color w:val="auto"/>
        </w:rPr>
      </w:pPr>
    </w:p>
    <w:p>
      <w:pPr>
        <w:jc w:val="both"/>
        <w:ind w:left="1140" w:right="1499" w:firstLine="294"/>
        <w:spacing w:after="0" w:line="251" w:lineRule="auto"/>
        <w:rPr>
          <w:sz w:val="20"/>
          <w:szCs w:val="20"/>
          <w:color w:val="auto"/>
        </w:rPr>
      </w:pPr>
      <w:r>
        <w:rPr>
          <w:rFonts w:ascii="Times New Roman" w:cs="Times New Roman" w:eastAsia="Times New Roman" w:hAnsi="Times New Roman"/>
          <w:sz w:val="15"/>
          <w:szCs w:val="15"/>
          <w:color w:val="auto"/>
        </w:rPr>
        <w:t>UAL and United have each agreed to indemnify the several underwriters against certain liabilities, including liabilities under the Securities Act of 1933, as amended, or to contribute to payments that the underwriters may be required to make in that respect.</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128" w:lineRule="exact"/>
        <w:rPr>
          <w:sz w:val="20"/>
          <w:szCs w:val="20"/>
          <w:color w:val="auto"/>
        </w:rPr>
      </w:pPr>
    </w:p>
    <w:p>
      <w:pPr>
        <w:ind w:left="1140" w:right="1279" w:firstLine="294"/>
        <w:spacing w:after="0" w:line="243"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do not constitute an offer of, or a solicitation of an offer by or on behalf of us or the underwriters to subscribe for or purchase, any of the notes in any jurisdiction to or from any person to whom or from whom it is unlawful to make such an offer</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39"/>
        <w:spacing w:after="0" w:line="244" w:lineRule="auto"/>
        <w:rPr>
          <w:sz w:val="20"/>
          <w:szCs w:val="20"/>
          <w:color w:val="auto"/>
        </w:rPr>
      </w:pPr>
      <w:r>
        <w:rPr>
          <w:rFonts w:ascii="Times New Roman" w:cs="Times New Roman" w:eastAsia="Times New Roman" w:hAnsi="Times New Roman"/>
          <w:sz w:val="15"/>
          <w:szCs w:val="15"/>
          <w:color w:val="auto"/>
        </w:rPr>
        <w:t>or solicitation in that jurisdiction. This distribution of this prospectus supplement and the accompanying prospectus and the offering of the notes in certain jurisdictions may be restricted by law. We and the underwriters require persons into whose possession this prospectus supplement and the accompanying prospectus come to observe the following restrictions.</w:t>
      </w:r>
    </w:p>
    <w:p>
      <w:pPr>
        <w:spacing w:after="0" w:line="1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European Economic Area</w:t>
      </w:r>
    </w:p>
    <w:p>
      <w:pPr>
        <w:spacing w:after="0" w:line="119"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2016/97/EU (the “Insurance Distribution Directive”), where that customer would not qualify as a professional client as defined in point (10) of Article 4(1) of MiFID II or (iii) not a qualified investor as defined in the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or any relevant implementing measure in each Member State of the EEA.</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United Kingdom</w:t>
      </w:r>
    </w:p>
    <w:p>
      <w:pPr>
        <w:spacing w:after="0" w:line="13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00" w:lineRule="exact"/>
        <w:rPr>
          <w:sz w:val="20"/>
          <w:szCs w:val="20"/>
          <w:color w:val="auto"/>
        </w:rPr>
      </w:pPr>
    </w:p>
    <w:p>
      <w:pPr>
        <w:ind w:left="1140" w:right="1279" w:firstLine="294"/>
        <w:spacing w:after="0" w:line="237" w:lineRule="auto"/>
        <w:rPr>
          <w:sz w:val="20"/>
          <w:szCs w:val="20"/>
          <w:color w:val="auto"/>
        </w:rPr>
      </w:pPr>
      <w:r>
        <w:rPr>
          <w:rFonts w:ascii="Times New Roman" w:cs="Times New Roman" w:eastAsia="Times New Roman" w:hAnsi="Times New Roman"/>
          <w:sz w:val="15"/>
          <w:szCs w:val="15"/>
          <w:color w:val="auto"/>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Relevant persons should note that all, or most, of the protections offered by the United Kingdom regulatory system will not apply to an investment in the notes and that compensation will not be available under the United Kingdom Financial Services Compensation Scheme.</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Canada</w:t>
      </w:r>
    </w:p>
    <w:p>
      <w:pPr>
        <w:spacing w:after="0" w:line="13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In Canada, 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19"/>
        <w:spacing w:after="0" w:line="271" w:lineRule="auto"/>
        <w:rPr>
          <w:sz w:val="20"/>
          <w:szCs w:val="20"/>
          <w:color w:val="auto"/>
        </w:rPr>
      </w:pPr>
      <w:r>
        <w:rPr>
          <w:rFonts w:ascii="Times New Roman" w:cs="Times New Roman" w:eastAsia="Times New Roman" w:hAnsi="Times New Roman"/>
          <w:sz w:val="15"/>
          <w:szCs w:val="15"/>
          <w:color w:val="auto"/>
        </w:rPr>
        <w:t>of the notes must be made in accordance with an exemption from, or in a transaction not subject to, the prospectus requirements of applicable securities laws.</w:t>
      </w:r>
    </w:p>
    <w:p>
      <w:pPr>
        <w:spacing w:after="0" w:line="85"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80" w:lineRule="exact"/>
        <w:rPr>
          <w:sz w:val="20"/>
          <w:szCs w:val="20"/>
          <w:color w:val="auto"/>
        </w:rPr>
      </w:pPr>
    </w:p>
    <w:p>
      <w:pPr>
        <w:ind w:left="1140" w:right="1619" w:firstLine="294"/>
        <w:spacing w:after="0" w:line="258"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19"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1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30"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Neither this prospectus supplement nor the accompanying prospectus has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(a) to an institutional investor under Section 274 of the Securities and Futures Act (Chapter 289) (the “SFA”), (b) to a relevant person, or any person pursuant to Section 275(1A), and in accordance with the conditions, specified in Section 275 of the SFA or (c) otherwise pursuant to, and in accordance with the conditions of, any other applicable provision of the SFA.</w:t>
      </w:r>
    </w:p>
    <w:p>
      <w:pPr>
        <w:spacing w:after="0" w:line="100"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 w:lineRule="exact"/>
        <w:rPr>
          <w:sz w:val="20"/>
          <w:szCs w:val="20"/>
          <w:color w:val="auto"/>
        </w:rPr>
      </w:pPr>
    </w:p>
    <w:p>
      <w:pPr>
        <w:ind w:left="1140" w:right="1299" w:firstLine="8"/>
        <w:spacing w:after="0" w:line="248" w:lineRule="auto"/>
        <w:tabs>
          <w:tab w:leader="none" w:pos="1371"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 of Singapore.</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Singapore Securities and Futures Act Product Classification</w:t>
      </w:r>
    </w:p>
    <w:p>
      <w:pPr>
        <w:spacing w:after="0" w:line="128"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color w:val="auto"/>
        </w:rPr>
        <w:t>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Japan</w:t>
      </w:r>
    </w:p>
    <w:p>
      <w:pPr>
        <w:spacing w:after="0" w:line="13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The notes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8"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The validity of the notes will be passed upon for us by Hughes Hubbard &amp; Reed LLP, New York, New York. Milbank LLP, New York, New York, will pass upon certain legal matters for the underwriters.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8"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auto"/>
          </w:rPr>
          <w:t xml:space="preserve">The consolidated financial statements of UAL appearing in UAL’s </w:t>
        </w:r>
        <w:r>
          <w:rPr>
            <w:rFonts w:ascii="Times New Roman" w:cs="Times New Roman" w:eastAsia="Times New Roman" w:hAnsi="Times New Roman"/>
            <w:sz w:val="15"/>
            <w:szCs w:val="15"/>
            <w:u w:val="single" w:color="auto"/>
            <w:color w:val="0000EE"/>
          </w:rPr>
          <w:t>Annual Report on Form 10-K for the</w:t>
        </w:r>
      </w:hyperlink>
      <w:r>
        <w:rPr>
          <w:rFonts w:ascii="Times New Roman" w:cs="Times New Roman" w:eastAsia="Times New Roman" w:hAnsi="Times New Roman"/>
          <w:sz w:val="15"/>
          <w:szCs w:val="15"/>
          <w:color w:val="auto"/>
        </w:rPr>
        <w:t xml:space="preserve"> </w:t>
      </w:r>
      <w:hyperlink r:id="rId114">
        <w:r>
          <w:rPr>
            <w:rFonts w:ascii="Times New Roman" w:cs="Times New Roman" w:eastAsia="Times New Roman" w:hAnsi="Times New Roman"/>
            <w:sz w:val="15"/>
            <w:szCs w:val="15"/>
            <w:u w:val="single" w:color="auto"/>
            <w:color w:val="0000EE"/>
          </w:rPr>
          <w:t>year ended December 31, 2024</w:t>
        </w:r>
        <w:r>
          <w:rPr>
            <w:rFonts w:ascii="Times New Roman" w:cs="Times New Roman" w:eastAsia="Times New Roman" w:hAnsi="Times New Roman"/>
            <w:sz w:val="15"/>
            <w:szCs w:val="15"/>
            <w:color w:val="000000"/>
          </w:rPr>
          <w:t>, and the effectiveness of UAL’s internal control over financial reporting as</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of December 31, 2024, have been audited by Ernst &amp; Young LLP, independent registered public accounting firm, as set forth in their reports thereon, and incorporated herein by reference. Such consolidated financial statements are incorporated herein by reference in reliance upon such reports given on the authority of Ernst &amp; Young LLP as experts in accounting and auditing.</w:t>
      </w:r>
    </w:p>
    <w:p>
      <w:pPr>
        <w:spacing w:after="0" w:line="92" w:lineRule="exact"/>
        <w:rPr>
          <w:sz w:val="20"/>
          <w:szCs w:val="20"/>
          <w:color w:val="auto"/>
        </w:rPr>
      </w:pPr>
    </w:p>
    <w:p>
      <w:pPr>
        <w:jc w:val="both"/>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The consolidated financial statements of United appearing in United’s Annual Report on Form 10-K for the year ended December 31, 2024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Ernst &amp; Young LLP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28" w:lineRule="exact"/>
        <w:rPr>
          <w:sz w:val="20"/>
          <w:szCs w:val="20"/>
          <w:color w:val="auto"/>
        </w:rPr>
      </w:pPr>
    </w:p>
    <w:p>
      <w:pPr>
        <w:jc w:val="both"/>
        <w:ind w:left="1140" w:right="1339" w:firstLine="294"/>
        <w:spacing w:after="0" w:line="254" w:lineRule="auto"/>
        <w:rPr>
          <w:sz w:val="20"/>
          <w:szCs w:val="20"/>
          <w:color w:val="auto"/>
        </w:rPr>
      </w:pPr>
      <w:r>
        <w:rPr>
          <w:rFonts w:ascii="Times New Roman" w:cs="Times New Roman" w:eastAsia="Times New Roman" w:hAnsi="Times New Roman"/>
          <w:sz w:val="15"/>
          <w:szCs w:val="15"/>
          <w:color w:val="auto"/>
        </w:rPr>
        <w:t>This prospectus supplement incorporates by reference the documents listed below that we previously have filed with the SEC (excluding any information that has been “furnished” but not “filed” for purposes of the Exchange Act) and that are not delivered with this prospectus supplement. They contain important information about us and our financial condition.</w:t>
      </w:r>
    </w:p>
    <w:p>
      <w:pPr>
        <w:sectPr>
          <w:pgSz w:w="11900" w:h="16838" w:orient="portrait"/>
          <w:cols w:equalWidth="0" w:num="1">
            <w:col w:w="9019"/>
          </w:cols>
          <w:pgMar w:left="1440" w:top="98" w:right="1440" w:bottom="1440" w:gutter="0" w:footer="0" w:header="0"/>
        </w:sectPr>
      </w:pP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Combined filings by UAL and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29845</wp:posOffset>
            </wp:positionV>
            <wp:extent cx="3883660" cy="140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Annual Report on Form 10-K for the year ended December 31, 2024</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Quarterly Report on Form 10-Q for the 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33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883660" cy="13335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Quarterly Report on Form 10-Q for the quarter ended June 30, 2025</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Quarterly Report on Form 10-Q for the quarter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40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Filings by UAL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29845</wp:posOffset>
            </wp:positionV>
            <wp:extent cx="3883660" cy="140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33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883660" cy="13335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Current Report on Form 8-K/A</w:t>
      </w:r>
    </w:p>
    <w:p>
      <w:pPr>
        <w:spacing w:after="0" w:line="1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SEC file number is 1-06033 for UAL and 1-10323 for United.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9"/>
          </w:tcPr>
          <w:p>
            <w:pPr>
              <w:jc w:val="center"/>
              <w:ind w:right="235"/>
              <w:spacing w:after="0"/>
              <w:rPr>
                <w:sz w:val="20"/>
                <w:szCs w:val="20"/>
                <w:color w:val="auto"/>
              </w:rPr>
            </w:pPr>
            <w:r>
              <w:rPr>
                <w:rFonts w:ascii="Times New Roman" w:cs="Times New Roman" w:eastAsia="Times New Roman" w:hAnsi="Times New Roman"/>
                <w:sz w:val="12"/>
                <w:szCs w:val="12"/>
                <w:b w:val="1"/>
                <w:bCs w:val="1"/>
                <w:color w:val="auto"/>
                <w:w w:val="92"/>
              </w:rPr>
              <w:t>Date filed</w:t>
            </w:r>
          </w:p>
        </w:tc>
      </w:tr>
      <w:tr>
        <w:trPr>
          <w:trHeight w:val="168"/>
        </w:trPr>
        <w:tc>
          <w:tcPr>
            <w:tcW w:w="200" w:type="dxa"/>
            <w:vAlign w:val="bottom"/>
            <w:gridSpan w:val="3"/>
          </w:tcPr>
          <w:p>
            <w:pPr>
              <w:jc w:val="right"/>
              <w:ind w:right="80"/>
              <w:spacing w:after="0" w:line="168" w:lineRule="exact"/>
              <w:rPr>
                <w:sz w:val="20"/>
                <w:szCs w:val="20"/>
                <w:color w:val="auto"/>
              </w:rPr>
            </w:pPr>
            <w:r>
              <w:rPr>
                <w:rFonts w:ascii="Times New Roman" w:cs="Times New Roman" w:eastAsia="Times New Roman" w:hAnsi="Times New Roman"/>
                <w:sz w:val="15"/>
                <w:szCs w:val="15"/>
                <w:color w:val="auto"/>
              </w:rPr>
              <w:t>​ ​</w:t>
            </w:r>
          </w:p>
        </w:tc>
        <w:tc>
          <w:tcPr>
            <w:tcW w:w="1140" w:type="dxa"/>
            <w:vAlign w:val="bottom"/>
            <w:tcBorders>
              <w:bottom w:val="single" w:sz="8" w:color="0000EE"/>
            </w:tcBorders>
            <w:gridSpan w:val="13"/>
          </w:tcPr>
          <w:p>
            <w:pPr>
              <w:jc w:val="center"/>
              <w:spacing w:after="0" w:line="156" w:lineRule="exact"/>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0000EE"/>
                </w:rPr>
                <w:t>February 27, 2025</w:t>
              </w:r>
            </w:hyperlink>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0000EE"/>
            </w:tcBorders>
            <w:gridSpan w:val="7"/>
          </w:tcPr>
          <w:p>
            <w:pPr>
              <w:jc w:val="center"/>
              <w:spacing w:after="0"/>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April 16, 2025</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0000EE"/>
            </w:tcBorders>
            <w:gridSpan w:val="3"/>
          </w:tcPr>
          <w:p>
            <w:pPr>
              <w:jc w:val="center"/>
              <w:spacing w:after="0"/>
              <w:rPr>
                <w:rFonts w:ascii="Times New Roman" w:cs="Times New Roman" w:eastAsia="Times New Roman" w:hAnsi="Times New Roman"/>
                <w:sz w:val="15"/>
                <w:szCs w:val="15"/>
                <w:color w:val="0000EE"/>
              </w:rPr>
            </w:pPr>
            <w:hyperlink r:id="rId121">
              <w:r>
                <w:rPr>
                  <w:rFonts w:ascii="Times New Roman" w:cs="Times New Roman" w:eastAsia="Times New Roman" w:hAnsi="Times New Roman"/>
                  <w:sz w:val="15"/>
                  <w:szCs w:val="15"/>
                  <w:color w:val="0000EE"/>
                </w:rPr>
                <w:t>July 17, 2025</w:t>
              </w:r>
            </w:hyperlink>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1100" w:type="dxa"/>
            <w:vAlign w:val="bottom"/>
            <w:tcBorders>
              <w:bottom w:val="single" w:sz="8" w:color="0000EE"/>
            </w:tcBorders>
            <w:gridSpan w:val="11"/>
          </w:tcPr>
          <w:p>
            <w:pPr>
              <w:jc w:val="center"/>
              <w:spacing w:after="0"/>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October 16, 2025</w:t>
              </w:r>
            </w:hyperlink>
          </w:p>
        </w:tc>
        <w:tc>
          <w:tcPr>
            <w:tcW w:w="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EE"/>
            </w:tcBorders>
          </w:tcPr>
          <w:p>
            <w:pPr>
              <w:jc w:val="center"/>
              <w:spacing w:after="0"/>
              <w:rPr>
                <w:rFonts w:ascii="Times New Roman" w:cs="Times New Roman" w:eastAsia="Times New Roman" w:hAnsi="Times New Roman"/>
                <w:sz w:val="15"/>
                <w:szCs w:val="15"/>
                <w:color w:val="0000EE"/>
              </w:rPr>
            </w:pPr>
            <w:hyperlink r:id="rId123">
              <w:r>
                <w:rPr>
                  <w:rFonts w:ascii="Times New Roman" w:cs="Times New Roman" w:eastAsia="Times New Roman" w:hAnsi="Times New Roman"/>
                  <w:sz w:val="15"/>
                  <w:szCs w:val="15"/>
                  <w:color w:val="0000EE"/>
                </w:rPr>
                <w:t>July 9, 2025</w:t>
              </w:r>
            </w:hyperlink>
          </w:p>
        </w:tc>
        <w:tc>
          <w:tcPr>
            <w:tcW w:w="6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1"/>
        </w:trPr>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EE"/>
            </w:tcBorders>
            <w:gridSpan w:val="9"/>
          </w:tcPr>
          <w:p>
            <w:pPr>
              <w:jc w:val="center"/>
              <w:spacing w:after="0"/>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0000EE"/>
                </w:rPr>
                <w:t>February 2, 2026</w:t>
              </w:r>
            </w:hyperlink>
          </w:p>
        </w:tc>
        <w:tc>
          <w:tcPr>
            <w:tcW w:w="20" w:type="dxa"/>
            <w:vAlign w:val="bottom"/>
          </w:tcPr>
          <w:p>
            <w:pPr>
              <w:spacing w:after="0"/>
              <w:rPr>
                <w:sz w:val="17"/>
                <w:szCs w:val="17"/>
                <w:color w:val="auto"/>
              </w:rPr>
            </w:pPr>
          </w:p>
        </w:tc>
        <w:tc>
          <w:tcPr>
            <w:tcW w:w="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r>
      <w:tr>
        <w:trPr>
          <w:trHeight w:val="366"/>
        </w:trPr>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9"/>
          </w:tcPr>
          <w:p>
            <w:pPr>
              <w:jc w:val="center"/>
              <w:ind w:right="235"/>
              <w:spacing w:after="0"/>
              <w:rPr>
                <w:sz w:val="20"/>
                <w:szCs w:val="20"/>
                <w:color w:val="auto"/>
              </w:rPr>
            </w:pPr>
            <w:r>
              <w:rPr>
                <w:rFonts w:ascii="Times New Roman" w:cs="Times New Roman" w:eastAsia="Times New Roman" w:hAnsi="Times New Roman"/>
                <w:sz w:val="12"/>
                <w:szCs w:val="12"/>
                <w:b w:val="1"/>
                <w:bCs w:val="1"/>
                <w:color w:val="auto"/>
                <w:w w:val="92"/>
              </w:rPr>
              <w:t>Date filed</w:t>
            </w:r>
          </w:p>
        </w:tc>
      </w:tr>
      <w:tr>
        <w:trPr>
          <w:trHeight w:val="168"/>
        </w:trPr>
        <w:tc>
          <w:tcPr>
            <w:tcW w:w="1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0000EE"/>
            </w:tcBorders>
            <w:gridSpan w:val="10"/>
          </w:tcPr>
          <w:p>
            <w:pPr>
              <w:jc w:val="center"/>
              <w:ind w:right="20"/>
              <w:spacing w:after="0" w:line="156" w:lineRule="exact"/>
              <w:rPr>
                <w:rFonts w:ascii="Times New Roman" w:cs="Times New Roman" w:eastAsia="Times New Roman" w:hAnsi="Times New Roman"/>
                <w:sz w:val="15"/>
                <w:szCs w:val="15"/>
                <w:color w:val="0000EE"/>
              </w:rPr>
            </w:pPr>
            <w:hyperlink r:id="rId125">
              <w:r>
                <w:rPr>
                  <w:rFonts w:ascii="Times New Roman" w:cs="Times New Roman" w:eastAsia="Times New Roman" w:hAnsi="Times New Roman"/>
                  <w:sz w:val="15"/>
                  <w:szCs w:val="15"/>
                  <w:color w:val="0000EE"/>
                </w:rPr>
                <w:t>January 17, 2025</w:t>
              </w:r>
            </w:hyperlink>
          </w:p>
        </w:tc>
        <w:tc>
          <w:tcPr>
            <w:tcW w:w="6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190"/>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0000EE"/>
            </w:tcBorders>
            <w:gridSpan w:val="5"/>
          </w:tcPr>
          <w:p>
            <w:pPr>
              <w:jc w:val="center"/>
              <w:spacing w:after="0"/>
              <w:rPr>
                <w:rFonts w:ascii="Times New Roman" w:cs="Times New Roman" w:eastAsia="Times New Roman" w:hAnsi="Times New Roman"/>
                <w:sz w:val="15"/>
                <w:szCs w:val="15"/>
                <w:color w:val="0000EE"/>
              </w:rPr>
            </w:pPr>
            <w:hyperlink r:id="rId126">
              <w:r>
                <w:rPr>
                  <w:rFonts w:ascii="Times New Roman" w:cs="Times New Roman" w:eastAsia="Times New Roman" w:hAnsi="Times New Roman"/>
                  <w:sz w:val="15"/>
                  <w:szCs w:val="15"/>
                  <w:color w:val="0000EE"/>
                </w:rPr>
                <w:t>May 28, 2025</w:t>
              </w:r>
            </w:hyperlink>
          </w:p>
        </w:tc>
        <w:tc>
          <w:tcPr>
            <w:tcW w:w="180" w:type="dxa"/>
            <w:vAlign w:val="bottom"/>
            <w:gridSpan w:val="6"/>
          </w:tcPr>
          <w:p>
            <w:pPr>
              <w:spacing w:after="0"/>
              <w:rPr>
                <w:sz w:val="16"/>
                <w:szCs w:val="16"/>
                <w:color w:val="auto"/>
              </w:rPr>
            </w:pPr>
          </w:p>
        </w:tc>
      </w:tr>
      <w:tr>
        <w:trPr>
          <w:trHeight w:val="190"/>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0000EE"/>
            </w:tcBorders>
            <w:gridSpan w:val="5"/>
          </w:tcPr>
          <w:p>
            <w:pPr>
              <w:jc w:val="center"/>
              <w:spacing w:after="0"/>
              <w:rPr>
                <w:rFonts w:ascii="Times New Roman" w:cs="Times New Roman" w:eastAsia="Times New Roman" w:hAnsi="Times New Roman"/>
                <w:sz w:val="15"/>
                <w:szCs w:val="15"/>
                <w:color w:val="0000EE"/>
              </w:rPr>
            </w:pPr>
            <w:hyperlink r:id="rId127">
              <w:r>
                <w:rPr>
                  <w:rFonts w:ascii="Times New Roman" w:cs="Times New Roman" w:eastAsia="Times New Roman" w:hAnsi="Times New Roman"/>
                  <w:sz w:val="15"/>
                  <w:szCs w:val="15"/>
                  <w:color w:val="0000EE"/>
                </w:rPr>
                <w:t>May 28, 2025</w:t>
              </w:r>
            </w:hyperlink>
          </w:p>
        </w:tc>
        <w:tc>
          <w:tcPr>
            <w:tcW w:w="180" w:type="dxa"/>
            <w:vAlign w:val="bottom"/>
            <w:gridSpan w:val="6"/>
          </w:tcPr>
          <w:p>
            <w:pPr>
              <w:spacing w:after="0"/>
              <w:rPr>
                <w:sz w:val="16"/>
                <w:szCs w:val="16"/>
                <w:color w:val="auto"/>
              </w:rPr>
            </w:pPr>
          </w:p>
        </w:tc>
      </w:tr>
    </w:tbl>
    <w:p>
      <w:pPr>
        <w:spacing w:after="0" w:line="416" w:lineRule="exact"/>
        <w:rPr>
          <w:sz w:val="20"/>
          <w:szCs w:val="20"/>
          <w:color w:val="auto"/>
        </w:rPr>
      </w:pPr>
    </w:p>
    <w:p>
      <w:pPr>
        <w:sectPr>
          <w:pgSz w:w="11900" w:h="16838" w:orient="portrait"/>
          <w:cols w:equalWidth="0" w:num="2">
            <w:col w:w="6000" w:space="240"/>
            <w:col w:w="2779"/>
          </w:cols>
          <w:pgMar w:left="1440" w:top="98" w:right="1440" w:bottom="1440" w:gutter="0" w:footer="0" w:header="0"/>
          <w:type w:val="continuous"/>
        </w:sect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Reference is made to the information under “Incorporation of Certain Documents by Reference” in the accompanying prospectus. All documents filed under the Exchange Act with the SEC prior to January 1, 2025, and incorporated by reference in the prospectus have been superseded by the above-listed documents and shall not be deemed to constitute a part of the prospectus or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6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4"/>
          <w:szCs w:val="24"/>
          <w:b w:val="1"/>
          <w:bCs w:val="1"/>
          <w:color w:val="auto"/>
        </w:rPr>
        <w:t>United Airlines Holdings, Inc.</w:t>
      </w:r>
    </w:p>
    <w:p>
      <w:pPr>
        <w:spacing w:after="0" w:line="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Preferred Stock</w:t>
      </w:r>
    </w:p>
    <w:p>
      <w:pPr>
        <w:ind w:left="4120"/>
        <w:spacing w:after="0"/>
        <w:rPr>
          <w:sz w:val="20"/>
          <w:szCs w:val="20"/>
          <w:color w:val="auto"/>
        </w:rPr>
      </w:pPr>
      <w:r>
        <w:rPr>
          <w:rFonts w:ascii="Times New Roman" w:cs="Times New Roman" w:eastAsia="Times New Roman" w:hAnsi="Times New Roman"/>
          <w:sz w:val="21"/>
          <w:szCs w:val="21"/>
          <w:b w:val="1"/>
          <w:bCs w:val="1"/>
          <w:color w:val="auto"/>
        </w:rPr>
        <w:t>Debt Securities</w:t>
      </w:r>
    </w:p>
    <w:p>
      <w:pPr>
        <w:ind w:left="3500"/>
        <w:spacing w:after="0" w:line="231" w:lineRule="auto"/>
        <w:rPr>
          <w:sz w:val="20"/>
          <w:szCs w:val="20"/>
          <w:color w:val="auto"/>
        </w:rPr>
      </w:pPr>
      <w:r>
        <w:rPr>
          <w:rFonts w:ascii="Times New Roman" w:cs="Times New Roman" w:eastAsia="Times New Roman" w:hAnsi="Times New Roman"/>
          <w:sz w:val="21"/>
          <w:szCs w:val="21"/>
          <w:b w:val="1"/>
          <w:bCs w:val="1"/>
          <w:color w:val="auto"/>
        </w:rPr>
        <w:t>Guarantees of Debt Securities</w:t>
      </w:r>
    </w:p>
    <w:p>
      <w:pPr>
        <w:ind w:left="3980"/>
        <w:spacing w:after="0" w:line="231" w:lineRule="auto"/>
        <w:rPr>
          <w:sz w:val="20"/>
          <w:szCs w:val="20"/>
          <w:color w:val="auto"/>
        </w:rPr>
      </w:pPr>
      <w:r>
        <w:rPr>
          <w:rFonts w:ascii="Times New Roman" w:cs="Times New Roman" w:eastAsia="Times New Roman" w:hAnsi="Times New Roman"/>
          <w:sz w:val="21"/>
          <w:szCs w:val="21"/>
          <w:b w:val="1"/>
          <w:bCs w:val="1"/>
          <w:color w:val="auto"/>
        </w:rPr>
        <w:t>Depositary Shares</w:t>
      </w:r>
    </w:p>
    <w:p>
      <w:pPr>
        <w:ind w:left="3660"/>
        <w:spacing w:after="0"/>
        <w:rPr>
          <w:sz w:val="20"/>
          <w:szCs w:val="20"/>
          <w:color w:val="auto"/>
        </w:rPr>
      </w:pPr>
      <w:r>
        <w:rPr>
          <w:rFonts w:ascii="Times New Roman" w:cs="Times New Roman" w:eastAsia="Times New Roman" w:hAnsi="Times New Roman"/>
          <w:sz w:val="21"/>
          <w:szCs w:val="21"/>
          <w:b w:val="1"/>
          <w:bCs w:val="1"/>
          <w:color w:val="auto"/>
        </w:rPr>
        <w:t>Stock Purchase Contracts</w:t>
      </w:r>
    </w:p>
    <w:p>
      <w:pPr>
        <w:ind w:left="3860"/>
        <w:spacing w:after="0" w:line="231" w:lineRule="auto"/>
        <w:rPr>
          <w:sz w:val="20"/>
          <w:szCs w:val="20"/>
          <w:color w:val="auto"/>
        </w:rPr>
      </w:pPr>
      <w:r>
        <w:rPr>
          <w:rFonts w:ascii="Times New Roman" w:cs="Times New Roman" w:eastAsia="Times New Roman" w:hAnsi="Times New Roman"/>
          <w:sz w:val="21"/>
          <w:szCs w:val="21"/>
          <w:b w:val="1"/>
          <w:bCs w:val="1"/>
          <w:color w:val="auto"/>
        </w:rPr>
        <w:t>Stock Purchase Units</w:t>
      </w:r>
    </w:p>
    <w:p>
      <w:pPr>
        <w:ind w:left="3920"/>
        <w:spacing w:after="0" w:line="231" w:lineRule="auto"/>
        <w:rPr>
          <w:sz w:val="20"/>
          <w:szCs w:val="20"/>
          <w:color w:val="auto"/>
        </w:rPr>
      </w:pPr>
      <w:r>
        <w:rPr>
          <w:rFonts w:ascii="Times New Roman" w:cs="Times New Roman" w:eastAsia="Times New Roman" w:hAnsi="Times New Roman"/>
          <w:sz w:val="21"/>
          <w:szCs w:val="21"/>
          <w:b w:val="1"/>
          <w:bCs w:val="1"/>
          <w:color w:val="auto"/>
        </w:rPr>
        <w:t>Subscription Rights</w:t>
      </w:r>
    </w:p>
    <w:p>
      <w:pPr>
        <w:ind w:left="4360"/>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180340</wp:posOffset>
            </wp:positionV>
            <wp:extent cx="10096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8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4"/>
          <w:szCs w:val="24"/>
          <w:b w:val="1"/>
          <w:bCs w:val="1"/>
          <w:color w:val="auto"/>
        </w:rPr>
        <w:t>United Airlines, Inc.</w:t>
      </w:r>
    </w:p>
    <w:p>
      <w:pPr>
        <w:spacing w:after="0" w:line="17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1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103505</wp:posOffset>
            </wp:positionV>
            <wp:extent cx="10096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16" w:lineRule="exact"/>
        <w:rPr>
          <w:sz w:val="20"/>
          <w:szCs w:val="20"/>
          <w:color w:val="auto"/>
        </w:rPr>
      </w:pPr>
    </w:p>
    <w:p>
      <w:pPr>
        <w:ind w:left="1420" w:right="899" w:firstLine="294"/>
        <w:spacing w:after="0" w:line="249" w:lineRule="auto"/>
        <w:rPr>
          <w:sz w:val="20"/>
          <w:szCs w:val="20"/>
          <w:color w:val="auto"/>
        </w:rPr>
      </w:pPr>
      <w:r>
        <w:rPr>
          <w:rFonts w:ascii="Times New Roman" w:cs="Times New Roman" w:eastAsia="Times New Roman" w:hAnsi="Times New Roman"/>
          <w:sz w:val="15"/>
          <w:szCs w:val="15"/>
          <w:color w:val="auto"/>
        </w:rPr>
        <w:t>The securities covered by this prospectus may be sold by United Airlines Holdings, Inc. and its wholly-owned subsidiary United Airlines, Inc., from time to time, together or separately. In addition, selling security holders who may be named in a prospectus supplement may offer and sell, from time to time, securities held by them in such amounts as set forth in such prospectus supplement. We may, and any selling security holder may, offer the securities independently or together in any combination for sale directly to purchasers or through underwriters, dealers or agents to be designated at a future date. Unless otherwise set forth in a prospectus supplement, we will not receive any proceeds from the sale of securities by any selling security holders.</w:t>
      </w:r>
    </w:p>
    <w:p>
      <w:pPr>
        <w:spacing w:after="0" w:line="92" w:lineRule="exact"/>
        <w:rPr>
          <w:sz w:val="20"/>
          <w:szCs w:val="20"/>
          <w:color w:val="auto"/>
        </w:rPr>
      </w:pPr>
    </w:p>
    <w:p>
      <w:pPr>
        <w:ind w:left="1420" w:right="1119" w:firstLine="294"/>
        <w:spacing w:after="0" w:line="258" w:lineRule="auto"/>
        <w:rPr>
          <w:sz w:val="20"/>
          <w:szCs w:val="20"/>
          <w:color w:val="auto"/>
        </w:rPr>
      </w:pPr>
      <w:r>
        <w:rPr>
          <w:rFonts w:ascii="Times New Roman" w:cs="Times New Roman" w:eastAsia="Times New Roman" w:hAnsi="Times New Roman"/>
          <w:sz w:val="15"/>
          <w:szCs w:val="15"/>
          <w:color w:val="auto"/>
        </w:rPr>
        <w:t>We will describe the specific terms of any offering of securities in a prospectus supplement to this prospectus. You should carefully read this prospectus and the applicable prospectus supplement, together with the documents we incorporate by reference, before you decide to invest in any of these securities.</w:t>
      </w:r>
    </w:p>
    <w:p>
      <w:pPr>
        <w:spacing w:after="0" w:line="95" w:lineRule="exact"/>
        <w:rPr>
          <w:sz w:val="20"/>
          <w:szCs w:val="20"/>
          <w:color w:val="auto"/>
        </w:rPr>
      </w:pPr>
    </w:p>
    <w:p>
      <w:pPr>
        <w:ind w:left="1420" w:right="1219" w:firstLine="294"/>
        <w:spacing w:after="0" w:line="271" w:lineRule="auto"/>
        <w:rPr>
          <w:sz w:val="20"/>
          <w:szCs w:val="20"/>
          <w:color w:val="auto"/>
        </w:rPr>
      </w:pPr>
      <w:r>
        <w:rPr>
          <w:rFonts w:ascii="Times New Roman" w:cs="Times New Roman" w:eastAsia="Times New Roman" w:hAnsi="Times New Roman"/>
          <w:sz w:val="15"/>
          <w:szCs w:val="15"/>
          <w:color w:val="auto"/>
        </w:rPr>
        <w:t>This prospectus may not be used to offer or sell any securities unless accompanied by a prospectus supplement.</w:t>
      </w:r>
    </w:p>
    <w:p>
      <w:pPr>
        <w:spacing w:after="0" w:line="85" w:lineRule="exact"/>
        <w:rPr>
          <w:sz w:val="20"/>
          <w:szCs w:val="20"/>
          <w:color w:val="auto"/>
        </w:rPr>
      </w:pPr>
    </w:p>
    <w:p>
      <w:pPr>
        <w:ind w:left="1420" w:right="1259" w:firstLine="294"/>
        <w:spacing w:after="0" w:line="271" w:lineRule="auto"/>
        <w:rPr>
          <w:sz w:val="20"/>
          <w:szCs w:val="20"/>
          <w:color w:val="auto"/>
        </w:rPr>
      </w:pPr>
      <w:r>
        <w:rPr>
          <w:rFonts w:ascii="Times New Roman" w:cs="Times New Roman" w:eastAsia="Times New Roman" w:hAnsi="Times New Roman"/>
          <w:sz w:val="15"/>
          <w:szCs w:val="15"/>
          <w:color w:val="auto"/>
        </w:rPr>
        <w:t>The Common Stock of United Airlines Holdings, Inc. is traded on The Nasdaq Stock Market LLC under the symbol “UAL.”</w:t>
      </w:r>
    </w:p>
    <w:p>
      <w:pPr>
        <w:spacing w:after="0" w:line="7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Investing in our securities involves risks. See “Risk Factors” on page </w:t>
      </w:r>
      <w:r>
        <w:rPr>
          <w:rFonts w:ascii="Times New Roman" w:cs="Times New Roman" w:eastAsia="Times New Roman" w:hAnsi="Times New Roman"/>
          <w:sz w:val="15"/>
          <w:szCs w:val="15"/>
          <w:b w:val="1"/>
          <w:bCs w:val="1"/>
          <w:i w:val="1"/>
          <w:iCs w:val="1"/>
          <w:u w:val="single" w:color="auto"/>
          <w:color w:val="0000EE"/>
        </w:rPr>
        <w:t>2</w:t>
      </w:r>
      <w:r>
        <w:rPr>
          <w:rFonts w:ascii="Times New Roman" w:cs="Times New Roman" w:eastAsia="Times New Roman" w:hAnsi="Times New Roman"/>
          <w:sz w:val="15"/>
          <w:szCs w:val="15"/>
          <w:b w:val="1"/>
          <w:bCs w:val="1"/>
          <w:i w:val="1"/>
          <w:i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189865</wp:posOffset>
            </wp:positionV>
            <wp:extent cx="10096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20" w:right="1099" w:firstLine="294"/>
        <w:spacing w:after="0" w:line="260"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103505</wp:posOffset>
            </wp:positionV>
            <wp:extent cx="10096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The date of this prospectus is 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132715</wp:posOffset>
            </wp:positionV>
            <wp:extent cx="558419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8890</wp:posOffset>
            </wp:positionV>
            <wp:extent cx="4262120" cy="140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CAUTIONARY STATEMENT CONCERNING FORWARD-LOOKING STATEMENTS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SELLING SECURITY HOLDERS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UAL CAPITAL STOCK</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DEBT SECURITIES AND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DEPOSITARY SHARES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STOCK PURCHASE CONTRACTS AND STOCK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SUBSCRIPTION RIGHTS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INCORPORATION OF CERTAIN DOCUMENTS BY REFERENCE</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EXPERTS</w:t>
      </w:r>
    </w:p>
    <w:p>
      <w:pPr>
        <w:spacing w:after="0" w:line="1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29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34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8" w:lineRule="exact"/>
        <w:rPr>
          <w:sz w:val="20"/>
          <w:szCs w:val="20"/>
          <w:color w:val="auto"/>
        </w:rPr>
      </w:pPr>
    </w:p>
    <w:p>
      <w:pPr>
        <w:sectPr>
          <w:pgSz w:w="11900" w:h="16838" w:orient="portrait"/>
          <w:cols w:equalWidth="0" w:num="2">
            <w:col w:w="6900" w:space="520"/>
            <w:col w:w="1599"/>
          </w:cols>
          <w:pgMar w:left="1440" w:top="98" w:right="1440" w:bottom="1440" w:gutter="0" w:footer="0" w:header="0"/>
        </w:sect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(the “SEC”) using the “shelf” registration process. Under the shelf registration process, we, or certain of our security holders, may sell the securities described in this prospectus in one or more offerings from time to time. This prospectus provides you with a general description of the securities that we or a selling security holder may offer. Each time we, or, under certain circumstances, our security holders, sell securities, we will provide a prospectus supplement that will contain specific information about the terms of that offering.</w:t>
      </w:r>
    </w:p>
    <w:p>
      <w:pPr>
        <w:spacing w:after="0" w:line="280" w:lineRule="exact"/>
        <w:rPr>
          <w:sz w:val="20"/>
          <w:szCs w:val="20"/>
          <w:color w:val="auto"/>
        </w:rPr>
      </w:pPr>
    </w:p>
    <w:p>
      <w:pPr>
        <w:ind w:left="1140" w:right="1319" w:firstLine="294"/>
        <w:spacing w:after="0" w:line="250" w:lineRule="auto"/>
        <w:rPr>
          <w:sz w:val="20"/>
          <w:szCs w:val="20"/>
          <w:color w:val="auto"/>
        </w:rPr>
      </w:pPr>
      <w:r>
        <w:rPr>
          <w:rFonts w:ascii="Times New Roman" w:cs="Times New Roman" w:eastAsia="Times New Roman" w:hAnsi="Times New Roman"/>
          <w:sz w:val="15"/>
          <w:szCs w:val="15"/>
          <w:color w:val="auto"/>
        </w:rPr>
        <w:t>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1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In this prospectus, unless the context otherwise requires, the terms “we,” “our,” “us” and the</w:t>
      </w:r>
    </w:p>
    <w:p>
      <w:pPr>
        <w:spacing w:after="0" w:line="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“Company” refer to United Airlines Holdings, Inc. and its subsidiaries, including United Airlines, Inc.</w:t>
      </w:r>
    </w:p>
    <w:p>
      <w:pPr>
        <w:spacing w:after="0" w:line="98" w:lineRule="exact"/>
        <w:rPr>
          <w:sz w:val="20"/>
          <w:szCs w:val="20"/>
          <w:color w:val="auto"/>
        </w:rPr>
      </w:pPr>
    </w:p>
    <w:p>
      <w:pPr>
        <w:ind w:left="1140" w:right="1179" w:firstLine="294"/>
        <w:spacing w:after="0" w:line="270"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An investment in our securities involves risk. Before you invest in securities issued by us, you should carefully consider the risks involved. Accordingly, you should carefully consider:</w:t>
      </w:r>
    </w:p>
    <w:p>
      <w:pPr>
        <w:spacing w:after="0" w:line="52" w:lineRule="exact"/>
        <w:rPr>
          <w:sz w:val="20"/>
          <w:szCs w:val="20"/>
          <w:color w:val="auto"/>
        </w:rPr>
      </w:pPr>
    </w:p>
    <w:p>
      <w:pPr>
        <w:ind w:left="1580" w:hanging="138"/>
        <w:spacing w:after="0"/>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or incorporated by reference into this prospectus;</w:t>
      </w:r>
    </w:p>
    <w:p>
      <w:pPr>
        <w:spacing w:after="0" w:line="114"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or incorporated by reference into any prospectus supplement relating to specific offerings of securities;</w:t>
      </w:r>
    </w:p>
    <w:p>
      <w:pPr>
        <w:spacing w:after="0" w:line="63" w:lineRule="exact"/>
        <w:rPr>
          <w:rFonts w:ascii="Times New Roman" w:cs="Times New Roman" w:eastAsia="Times New Roman" w:hAnsi="Times New Roman"/>
          <w:sz w:val="15"/>
          <w:szCs w:val="15"/>
          <w:color w:val="auto"/>
        </w:rPr>
      </w:pPr>
    </w:p>
    <w:p>
      <w:pPr>
        <w:jc w:val="both"/>
        <w:ind w:left="1580" w:right="1219" w:hanging="138"/>
        <w:spacing w:after="0" w:line="254"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w:t>
      </w:r>
    </w:p>
    <w:p>
      <w:pPr>
        <w:spacing w:after="0" w:line="75" w:lineRule="exact"/>
        <w:rPr>
          <w:rFonts w:ascii="Times New Roman" w:cs="Times New Roman" w:eastAsia="Times New Roman" w:hAnsi="Times New Roman"/>
          <w:sz w:val="15"/>
          <w:szCs w:val="15"/>
          <w:color w:val="auto"/>
        </w:rPr>
      </w:pPr>
    </w:p>
    <w:p>
      <w:pPr>
        <w:jc w:val="both"/>
        <w:ind w:left="1580" w:right="1279" w:hanging="138"/>
        <w:spacing w:after="0" w:line="258"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other information that may be contained in, or incorporated by reference from, other filings we make with the SEC, including in any prospectus supplement relating to specific offerings of securities.</w:t>
      </w:r>
    </w:p>
    <w:p>
      <w:pPr>
        <w:spacing w:after="0" w:line="95"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CONCERNING FORWARD-LOOKING STATEMENTS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w:t>
      </w:r>
    </w:p>
    <w:p>
      <w:pPr>
        <w:spacing w:after="0" w:line="269" w:lineRule="exact"/>
        <w:rPr>
          <w:sz w:val="20"/>
          <w:szCs w:val="20"/>
          <w:color w:val="auto"/>
        </w:rPr>
      </w:pPr>
    </w:p>
    <w:p>
      <w:pPr>
        <w:ind w:left="1140" w:right="1439" w:firstLine="294"/>
        <w:spacing w:after="0" w:line="271" w:lineRule="auto"/>
        <w:rPr>
          <w:sz w:val="20"/>
          <w:szCs w:val="20"/>
          <w:color w:val="auto"/>
        </w:rPr>
      </w:pPr>
      <w:r>
        <w:rPr>
          <w:rFonts w:ascii="Times New Roman" w:cs="Times New Roman" w:eastAsia="Times New Roman" w:hAnsi="Times New Roman"/>
          <w:sz w:val="15"/>
          <w:szCs w:val="15"/>
          <w:color w:val="auto"/>
        </w:rPr>
        <w:t>Among the factors that could cause actual results, performance or achievements to differ materially from those indicated by such forward-looking statements are:</w:t>
      </w:r>
    </w:p>
    <w:p>
      <w:pPr>
        <w:spacing w:after="0" w:line="52" w:lineRule="exact"/>
        <w:rPr>
          <w:sz w:val="20"/>
          <w:szCs w:val="20"/>
          <w:color w:val="auto"/>
        </w:rPr>
      </w:pPr>
    </w:p>
    <w:p>
      <w:pPr>
        <w:ind w:left="1580" w:hanging="138"/>
        <w:spacing w:after="0"/>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execution risks associated with our strategic operating plan;</w:t>
      </w:r>
    </w:p>
    <w:p>
      <w:pPr>
        <w:spacing w:after="0" w:line="114" w:lineRule="exact"/>
        <w:rPr>
          <w:rFonts w:ascii="Times New Roman" w:cs="Times New Roman" w:eastAsia="Times New Roman" w:hAnsi="Times New Roman"/>
          <w:sz w:val="15"/>
          <w:szCs w:val="15"/>
          <w:color w:val="auto"/>
        </w:rPr>
      </w:pPr>
    </w:p>
    <w:p>
      <w:pPr>
        <w:ind w:left="1580" w:right="1299" w:hanging="138"/>
        <w:spacing w:after="0" w:line="256"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w:t>
      </w:r>
    </w:p>
    <w:p>
      <w:pPr>
        <w:spacing w:after="0" w:line="253"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to effectively manage, and receive anticipated benefits and returns from, acquisitions, divestitures, investments, joint ventures and other portfolio actions, as well as related costs or other issues, or related exposures to unknown liabilities or other issues or underperformance as compared to our expectations;</w:t>
      </w:r>
    </w:p>
    <w:p>
      <w:pPr>
        <w:spacing w:after="0" w:line="75"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adverse impacts of the ongoing COVID-19 global pandemic on our business, operating results, financial condition and liquidity;</w:t>
      </w:r>
    </w:p>
    <w:p>
      <w:pPr>
        <w:spacing w:after="0" w:line="74" w:lineRule="exact"/>
        <w:rPr>
          <w:rFonts w:ascii="Times New Roman" w:cs="Times New Roman" w:eastAsia="Times New Roman" w:hAnsi="Times New Roman"/>
          <w:sz w:val="15"/>
          <w:szCs w:val="15"/>
          <w:color w:val="auto"/>
        </w:rPr>
      </w:pPr>
    </w:p>
    <w:p>
      <w:pPr>
        <w:ind w:left="1580" w:right="1159" w:hanging="138"/>
        <w:spacing w:after="0" w:line="258"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harm to our brand, reduced travel demand, potential tort liability and voluntary or mandatory operational restrictions as a result of an accident, catastrophe or incident involving us, our regional carriers, our codeshare partners or another airline;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79" w:hanging="138"/>
        <w:spacing w:after="0" w:line="258"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highly competitive nature of the global airline industry and susceptibility of the industry to price discounting and changes in capacity, including as a result of alliances, joint business arrangements or other consolidations;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a limited number of suppliers to source a majority of our aircraft and certain parts, and the impact of any failure to obtain timely deliveries, additional equipment or support from any of these suppliers;</w:t>
      </w:r>
    </w:p>
    <w:p>
      <w:pPr>
        <w:spacing w:after="0" w:line="61" w:lineRule="exact"/>
        <w:rPr>
          <w:rFonts w:ascii="Times New Roman" w:cs="Times New Roman" w:eastAsia="Times New Roman" w:hAnsi="Times New Roman"/>
          <w:sz w:val="15"/>
          <w:szCs w:val="15"/>
          <w:color w:val="auto"/>
        </w:rPr>
      </w:pPr>
    </w:p>
    <w:p>
      <w:pPr>
        <w:ind w:left="1580" w:right="153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to our regional network and United Express flights provided by third-party regional carriers;</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unfavorable economic and political conditions in the United States and globally;</w:t>
      </w:r>
    </w:p>
    <w:p>
      <w:pPr>
        <w:spacing w:after="0" w:line="92" w:lineRule="exact"/>
        <w:rPr>
          <w:rFonts w:ascii="Times New Roman" w:cs="Times New Roman" w:eastAsia="Times New Roman" w:hAnsi="Times New Roman"/>
          <w:sz w:val="15"/>
          <w:szCs w:val="15"/>
          <w:color w:val="auto"/>
        </w:rPr>
      </w:pPr>
    </w:p>
    <w:p>
      <w:pPr>
        <w:jc w:val="both"/>
        <w:ind w:left="1580" w:right="1299" w:hanging="138"/>
        <w:spacing w:after="0" w:line="258"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third-party service providers and the impact of any significant failure of these parties to perform as expected, or interruptions in our relationships with these providers or their provision of services;</w:t>
      </w:r>
    </w:p>
    <w:p>
      <w:pPr>
        <w:spacing w:after="0" w:line="61" w:lineRule="exact"/>
        <w:rPr>
          <w:rFonts w:ascii="Times New Roman" w:cs="Times New Roman" w:eastAsia="Times New Roman" w:hAnsi="Times New Roman"/>
          <w:sz w:val="15"/>
          <w:szCs w:val="15"/>
          <w:color w:val="auto"/>
        </w:rPr>
      </w:pPr>
    </w:p>
    <w:p>
      <w:pPr>
        <w:ind w:left="1580" w:right="115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extended interruptions or disruptions in service at major airports where we operate and space, facility and infrastructure constraints at our hubs or other airports;</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conflict, terrorist attacks or security events (including the continuation of the suspension of our overflying in Russian airspace as a result of the Russia-Ukraine military conflict and to Tel Aviv as a result of the Israeli-Palestinian military conflict and an escalation of the broader economic consequences of the conflicts beyond their current scope);</w:t>
      </w:r>
    </w:p>
    <w:p>
      <w:pPr>
        <w:spacing w:after="0" w:line="5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damage to our reputation or brand image;</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58"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technology and automated systems to operate our business and the impact of any significant failure or disruption of, or failure to effectively integrate and implement, the technology or systems;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increasing privacy and data security obligations or a significant data breach;</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use of social media platforms by us, our employees and others;</w:t>
      </w:r>
    </w:p>
    <w:p>
      <w:pPr>
        <w:spacing w:after="0" w:line="8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union disputes, employee strikes or slowdowns, and other labor-related disruptions or regulatory compliance costs on our operations or financial performance;</w:t>
      </w:r>
    </w:p>
    <w:p>
      <w:pPr>
        <w:spacing w:after="0" w:line="5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to attract, train or retain skilled personnel, including our senior management team or other key employees;</w:t>
      </w:r>
    </w:p>
    <w:p>
      <w:pPr>
        <w:spacing w:after="0" w:line="52" w:lineRule="exact"/>
        <w:rPr>
          <w:rFonts w:ascii="Times New Roman" w:cs="Times New Roman" w:eastAsia="Times New Roman" w:hAnsi="Times New Roman"/>
          <w:sz w:val="15"/>
          <w:szCs w:val="15"/>
          <w:color w:val="auto"/>
        </w:rPr>
      </w:pPr>
    </w:p>
    <w:p>
      <w:pPr>
        <w:ind w:left="1580" w:right="159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monetary and operational costs of compliance with extensive government regulation of the airline industry;</w:t>
      </w:r>
    </w:p>
    <w:p>
      <w:pPr>
        <w:spacing w:after="0" w:line="52" w:lineRule="exact"/>
        <w:rPr>
          <w:rFonts w:ascii="Times New Roman" w:cs="Times New Roman" w:eastAsia="Times New Roman" w:hAnsi="Times New Roman"/>
          <w:sz w:val="15"/>
          <w:szCs w:val="15"/>
          <w:color w:val="auto"/>
        </w:rPr>
      </w:pPr>
    </w:p>
    <w:p>
      <w:pPr>
        <w:ind w:left="1580" w:right="173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or future litigation and regulatory actions, or failure to comply with the terms of any settlement, order or arrangement relating to these actions;</w:t>
      </w:r>
    </w:p>
    <w:p>
      <w:pPr>
        <w:spacing w:after="0" w:line="52"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liabilities and risks associated with environmental regulation and climate change, including our climate goals;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and/or volatile fuel prices or significant disruptions in the supply of aircraft fuel;</w:t>
      </w:r>
    </w:p>
    <w:p>
      <w:pPr>
        <w:spacing w:after="0" w:line="8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our significant amount of financial leverage from fixed obligations and the impacts of insufficient liquidity on our financial condition and business;</w:t>
      </w:r>
    </w:p>
    <w:p>
      <w:pPr>
        <w:spacing w:after="0" w:line="33" w:lineRule="exact"/>
        <w:rPr>
          <w:rFonts w:ascii="Times New Roman" w:cs="Times New Roman" w:eastAsia="Times New Roman" w:hAnsi="Times New Roman"/>
          <w:sz w:val="15"/>
          <w:szCs w:val="15"/>
          <w:color w:val="auto"/>
        </w:rPr>
      </w:pPr>
    </w:p>
    <w:p>
      <w:pPr>
        <w:ind w:left="1580" w:right="1199" w:hanging="138"/>
        <w:spacing w:after="0" w:line="224"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financial and other covenants governing our debt, including our MileagePlus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financing agreements;</w:t>
      </w:r>
    </w:p>
    <w:p>
      <w:pPr>
        <w:spacing w:after="0" w:line="7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the phase out of the London interbank offer rate;</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ability to use our net operating loss carryforwards and certain other tax attributes to offset future taxable income for U.S. federal income tax purposes;</w:t>
      </w:r>
    </w:p>
    <w:p>
      <w:pPr>
        <w:spacing w:after="0" w:line="52"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realize the full value of our intangible assets or our long-lived assets, causing us to record impairments;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price of Common Stock of United Airlines Holdings, Inc.;</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of seasonality and other factors associated with the airline industry;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insurance costs or inadequate insurance coverage; and</w:t>
      </w:r>
    </w:p>
    <w:p>
      <w:pPr>
        <w:spacing w:after="0" w:line="92" w:lineRule="exact"/>
        <w:rPr>
          <w:rFonts w:ascii="Times New Roman" w:cs="Times New Roman" w:eastAsia="Times New Roman" w:hAnsi="Times New Roman"/>
          <w:sz w:val="15"/>
          <w:szCs w:val="15"/>
          <w:color w:val="auto"/>
        </w:rPr>
      </w:pPr>
    </w:p>
    <w:p>
      <w:pPr>
        <w:ind w:left="1580" w:right="1599" w:hanging="138"/>
        <w:spacing w:after="0" w:line="258"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referred to in “Risk Factors” in this prospectus and the applicable prospectus supplement, and under “Risk Factors,” “Economic and Market Factors” and “Governmental Actions” in the reports we file with the SEC.</w:t>
      </w:r>
    </w:p>
    <w:p>
      <w:pPr>
        <w:spacing w:after="0" w:line="95"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We make these statements under the protection afforded by Section 27A of the Securities Act of 1933, as amended (the “Securities Act”), and Section 21E of the Securities Exchange Act of 1934, as amended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28" w:lineRule="exact"/>
        <w:rPr>
          <w:sz w:val="20"/>
          <w:szCs w:val="20"/>
          <w:color w:val="auto"/>
        </w:rPr>
      </w:pPr>
    </w:p>
    <w:p>
      <w:pPr>
        <w:ind w:left="1140" w:right="1559" w:firstLine="294"/>
        <w:spacing w:after="0" w:line="271" w:lineRule="auto"/>
        <w:rPr>
          <w:sz w:val="20"/>
          <w:szCs w:val="20"/>
          <w:color w:val="auto"/>
        </w:rPr>
      </w:pPr>
      <w:r>
        <w:rPr>
          <w:rFonts w:ascii="Times New Roman" w:cs="Times New Roman" w:eastAsia="Times New Roman" w:hAnsi="Times New Roman"/>
          <w:sz w:val="15"/>
          <w:szCs w:val="15"/>
          <w:color w:val="auto"/>
        </w:rPr>
        <w:t>United Airlines Holdings, Inc. (“UAL”) is a holding company and its wholly-owned subsidiary is United Airlines, Inc. (“United”), which is a commercial airline.</w:t>
      </w:r>
    </w:p>
    <w:p>
      <w:pPr>
        <w:spacing w:after="0" w:line="74"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Each of UAL and United is a Delaware corporation. The principal executive offices of UAL and United are located at 233 S. Wacker Drive, Chicago, Illinois 60606, telephone (872) 825-4000.</w:t>
      </w:r>
    </w:p>
    <w:p>
      <w:pPr>
        <w:spacing w:after="0" w:line="85" w:lineRule="exact"/>
        <w:rPr>
          <w:sz w:val="20"/>
          <w:szCs w:val="20"/>
          <w:color w:val="auto"/>
        </w:rPr>
      </w:pPr>
    </w:p>
    <w:p>
      <w:pPr>
        <w:jc w:val="both"/>
        <w:ind w:left="1140" w:right="1339" w:firstLine="294"/>
        <w:spacing w:after="0" w:line="258" w:lineRule="auto"/>
        <w:rPr>
          <w:sz w:val="20"/>
          <w:szCs w:val="20"/>
          <w:color w:val="auto"/>
        </w:rPr>
      </w:pPr>
      <w:r>
        <w:rPr>
          <w:rFonts w:ascii="Times New Roman" w:cs="Times New Roman" w:eastAsia="Times New Roman" w:hAnsi="Times New Roman"/>
          <w:sz w:val="15"/>
          <w:szCs w:val="15"/>
          <w:color w:val="auto"/>
        </w:rPr>
        <w:t>The website for UAL and United is www.united.com. The information contained on or connected to this website is not incorporated by reference into this prospectus and should not be considered part of this 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SELLING SECURITY HOLDERS</w:t>
      </w:r>
    </w:p>
    <w:p>
      <w:pPr>
        <w:spacing w:after="0" w:line="128"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We may register securities covered by this prospectus for re-offers and resales by any selling security holders who may be named in a prospectus supplement. Because each of UAL and United is a well-known seasoned issuer, as defined in Rule 405 under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their securities at any time and from time to time. We may register those securities for sale through an underwriter or other plan of distribution as set forth in a prospectus supplement. See “Plan of Distribution.” Selling security holders may also sell, transfer or otherwise dispose of some or all of their securities in transactions exempt from the registration requirements of the Securities Act. We may pay all expenses incurred with respect to the registration of the securities owned by the selling security holders, other than underwriting fees, discounts or commissions, which will be borne by the selling security holders. We will provide you with a prospectus supplement naming the selling security holders, the amount of securities to be registered and sold and any other terms of the securities being sold by a selling security holder.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17"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Unless otherwise indicated in an accompanying prospectus supplement, we intend to use the net proceeds from the sale of our securities for general corporate purposes, which may include repayment of indebtedness, the funding of a portion of our pension liabilities and our working capital requirements. Unless otherwise set forth in a prospectus supplement, we will not receive any proceeds from any sales of our securities by any selling security holder who may be named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UAL CAPITAL STOCK</w:t>
      </w:r>
    </w:p>
    <w:p>
      <w:pPr>
        <w:spacing w:after="0" w:line="126"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description of UAL’s capital stock includes a summary of certain provisions of UAL’s amended and restated certificate of incorporation, amended and restated bylaws and tax benefits preservation plan. This description of UAL’s capital stock does not purport to be complete and is subject to and qualified in its entirety by reference to applicable Delaware law, such documents and the provisions of any applicable certificates of designations, which have been or will be filed with the SEC.</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359" w:firstLine="294"/>
        <w:spacing w:after="0" w:line="250" w:lineRule="auto"/>
        <w:rPr>
          <w:sz w:val="20"/>
          <w:szCs w:val="20"/>
          <w:color w:val="auto"/>
        </w:rPr>
      </w:pPr>
      <w:r>
        <w:rPr>
          <w:rFonts w:ascii="Times New Roman" w:cs="Times New Roman" w:eastAsia="Times New Roman" w:hAnsi="Times New Roman"/>
          <w:sz w:val="15"/>
          <w:szCs w:val="15"/>
          <w:color w:val="auto"/>
        </w:rPr>
        <w:t>UAL is authorized to issue up to 1,000,000,000 shares of Common Stock, par value $0.01 per share (“UAL Common Stock”), and up to 250,000,000 shares of Preferred Stock, without par value (“Preferred Stock”), of which UAL has designated 1,000,000 shares as Series A Junior Participating Serial Preferred Stock, without par value (“Series A Preferred Stock”). UAL is also authorized to issue and has issued one share of Class Pilot MEC Junior Preferred Stock, par value $0.01 per share (“Class Pilot MEC Junior Preferred Stock”), and one share of Class IAM Junior Preferred Stock, par value $0.01 per share (“Class IAM Junior Preferred Stock”).</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17" w:lineRule="exact"/>
        <w:rPr>
          <w:sz w:val="20"/>
          <w:szCs w:val="20"/>
          <w:color w:val="auto"/>
        </w:rPr>
      </w:pPr>
    </w:p>
    <w:p>
      <w:pPr>
        <w:ind w:left="1140" w:right="1719" w:firstLine="294"/>
        <w:spacing w:after="0" w:line="271" w:lineRule="auto"/>
        <w:rPr>
          <w:sz w:val="20"/>
          <w:szCs w:val="20"/>
          <w:color w:val="auto"/>
        </w:rPr>
      </w:pPr>
      <w:r>
        <w:rPr>
          <w:rFonts w:ascii="Times New Roman" w:cs="Times New Roman" w:eastAsia="Times New Roman" w:hAnsi="Times New Roman"/>
          <w:sz w:val="15"/>
          <w:szCs w:val="15"/>
          <w:color w:val="auto"/>
        </w:rPr>
        <w:t>The holders of UAL Common Stock will be entitled to receive dividends, if and when declared payable, from time to time by the UAL board of directors (the “Board”).</w:t>
      </w:r>
    </w:p>
    <w:p>
      <w:pPr>
        <w:spacing w:after="0" w:line="1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28"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UAL Common Stock, including any shares of UAL’s Preferred Stock, Class Pilot MEC Junior Preferred Stock and Class IAM Junior Preferred Stock, have been paid in full that to which they are entitled, the holders of the then outstanding shares of UAL Common Stock will be entitled to receive, pro rata, the remaining assets of UAL available for distribution to its stockholders.</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jc w:val="both"/>
        <w:ind w:left="1140" w:right="1459" w:firstLine="294"/>
        <w:spacing w:after="0" w:line="250" w:lineRule="auto"/>
        <w:rPr>
          <w:sz w:val="20"/>
          <w:szCs w:val="20"/>
          <w:color w:val="auto"/>
        </w:rPr>
      </w:pPr>
      <w:r>
        <w:rPr>
          <w:rFonts w:ascii="Times New Roman" w:cs="Times New Roman" w:eastAsia="Times New Roman" w:hAnsi="Times New Roman"/>
          <w:sz w:val="15"/>
          <w:szCs w:val="15"/>
          <w:color w:val="auto"/>
        </w:rPr>
        <w:t>Each outstanding share of UAL Common Stock will entitle the holder thereof to one vote on each matter submitted to a vote at a meeting of stockholders. At meetings of stockholders, holders of UAL’s Common Stock vote together as a single class with holders of UAL’s Class Pilot MEC Junior Preferred Stock and Class IAM Junior Preferred Stock on all matters except the election of directors to the Board.</w:t>
      </w:r>
    </w:p>
    <w:p>
      <w:pPr>
        <w:spacing w:after="0" w:line="2" w:lineRule="exact"/>
        <w:rPr>
          <w:sz w:val="20"/>
          <w:szCs w:val="20"/>
          <w:color w:val="auto"/>
        </w:rPr>
      </w:pPr>
    </w:p>
    <w:p>
      <w:pPr>
        <w:ind w:left="1140" w:right="1159"/>
        <w:spacing w:after="0" w:line="246" w:lineRule="auto"/>
        <w:rPr>
          <w:sz w:val="20"/>
          <w:szCs w:val="20"/>
          <w:color w:val="auto"/>
        </w:rPr>
      </w:pPr>
      <w:r>
        <w:rPr>
          <w:rFonts w:ascii="Times New Roman" w:cs="Times New Roman" w:eastAsia="Times New Roman" w:hAnsi="Times New Roman"/>
          <w:sz w:val="15"/>
          <w:szCs w:val="15"/>
          <w:color w:val="auto"/>
        </w:rPr>
        <w:t>Except as otherwise required by UAL’s amended and restated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3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Other</w:t>
      </w:r>
    </w:p>
    <w:p>
      <w:pPr>
        <w:spacing w:after="0" w:line="117"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UAL Common Stock is not convertible into, or exchangeable for, any other class or series of capital stock. Holders of UAL Common Stock have no preemptive or other rights to subscribe for or purchase additional securities of UAL. UAL’s amended and restated certificate of incorporation contains no sinking fund provisions or redemption provisions with respect to the UAL Common Stock. Shares of UAL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99" w:firstLine="294"/>
        <w:spacing w:after="0" w:line="271" w:lineRule="auto"/>
        <w:rPr>
          <w:sz w:val="20"/>
          <w:szCs w:val="20"/>
          <w:color w:val="auto"/>
        </w:rPr>
      </w:pPr>
      <w:r>
        <w:rPr>
          <w:rFonts w:ascii="Times New Roman" w:cs="Times New Roman" w:eastAsia="Times New Roman" w:hAnsi="Times New Roman"/>
          <w:sz w:val="15"/>
          <w:szCs w:val="15"/>
          <w:color w:val="auto"/>
        </w:rPr>
        <w:t>UAL Common Stock is subject to a foreign ownership limitation. See “— Foreign Ownership Limitation and Certain Anti-Takeover Provisions” below.</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28"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Preferred Stock may be issued independently or together with any other securities and may be attached to or separate from the securities.</w:t>
      </w:r>
    </w:p>
    <w:p>
      <w:pPr>
        <w:spacing w:after="0" w:line="85" w:lineRule="exact"/>
        <w:rPr>
          <w:sz w:val="20"/>
          <w:szCs w:val="20"/>
          <w:color w:val="auto"/>
        </w:rPr>
      </w:pPr>
    </w:p>
    <w:p>
      <w:pPr>
        <w:ind w:left="1140" w:right="1339" w:firstLine="294"/>
        <w:spacing w:after="0" w:line="241" w:lineRule="auto"/>
        <w:rPr>
          <w:sz w:val="20"/>
          <w:szCs w:val="20"/>
          <w:color w:val="auto"/>
        </w:rPr>
      </w:pPr>
      <w:r>
        <w:rPr>
          <w:rFonts w:ascii="Times New Roman" w:cs="Times New Roman" w:eastAsia="Times New Roman" w:hAnsi="Times New Roman"/>
          <w:sz w:val="15"/>
          <w:szCs w:val="15"/>
          <w:color w:val="auto"/>
        </w:rPr>
        <w:t>Pursuant to Delaware law and UAL’s amended and restated certificate of incorporation, the Board by resolution, and without the approval of stockholders, may establish one or more series of Preferred Stock, fix the number of shares constituting such series and fix the designations and the powers, preferences and relative, participating, optional or other special rights, if any, and the qualifications, limitations and restrictions thereof, of such series. Such rights, preferences, powers and limitations as may be established could have the effect of discouraging an attempt to obtain control of UAL.</w:t>
      </w:r>
    </w:p>
    <w:p>
      <w:pPr>
        <w:spacing w:after="0" w:line="98" w:lineRule="exact"/>
        <w:rPr>
          <w:sz w:val="20"/>
          <w:szCs w:val="20"/>
          <w:color w:val="auto"/>
        </w:rPr>
      </w:pPr>
    </w:p>
    <w:p>
      <w:pPr>
        <w:jc w:val="both"/>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If the Board approves the issuance of a series of Preferred Stock to be offered hereunder, a description will be filed with the SEC and the terms of such series will be described in the prospectus supplement with respect to such series, including the following terms:</w:t>
      </w:r>
    </w:p>
    <w:p>
      <w:pPr>
        <w:spacing w:after="0" w:line="61" w:lineRule="exact"/>
        <w:rPr>
          <w:sz w:val="20"/>
          <w:szCs w:val="20"/>
          <w:color w:val="auto"/>
        </w:rPr>
      </w:pPr>
    </w:p>
    <w:p>
      <w:pPr>
        <w:ind w:left="1580" w:hanging="138"/>
        <w:spacing w:after="0"/>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constituting such series and the distinctive designation of the series;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50" w:lineRule="exact"/>
        <w:rPr>
          <w:rFonts w:ascii="Times New Roman" w:cs="Times New Roman" w:eastAsia="Times New Roman" w:hAnsi="Times New Roman"/>
          <w:sz w:val="15"/>
          <w:szCs w:val="15"/>
          <w:color w:val="auto"/>
        </w:rPr>
      </w:pPr>
    </w:p>
    <w:p>
      <w:pPr>
        <w:ind w:left="1580" w:right="133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61" w:lineRule="exact"/>
        <w:rPr>
          <w:rFonts w:ascii="Times New Roman" w:cs="Times New Roman" w:eastAsia="Times New Roman" w:hAnsi="Times New Roman"/>
          <w:sz w:val="15"/>
          <w:szCs w:val="15"/>
          <w:color w:val="auto"/>
        </w:rPr>
      </w:pPr>
    </w:p>
    <w:p>
      <w:pPr>
        <w:jc w:val="both"/>
        <w:ind w:left="1580" w:right="117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in respect of the shares of the series, in the event of any liquidation, dissolution or winding up of UAL, which amount may, but need not, vary according to the time or circumstances of such action, and the relative rights of preference, if any, of payment of such amount;</w:t>
      </w:r>
    </w:p>
    <w:p>
      <w:pPr>
        <w:spacing w:after="0" w:line="61" w:lineRule="exact"/>
        <w:rPr>
          <w:rFonts w:ascii="Times New Roman" w:cs="Times New Roman" w:eastAsia="Times New Roman" w:hAnsi="Times New Roman"/>
          <w:sz w:val="15"/>
          <w:szCs w:val="15"/>
          <w:color w:val="auto"/>
        </w:rPr>
      </w:pPr>
    </w:p>
    <w:p>
      <w:pPr>
        <w:ind w:left="1580" w:right="165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requirement as to a sinking fund for the shares of the series, or any requirement as to the redemption, purchase or other retirement by UAL of the shares of the series;</w:t>
      </w:r>
    </w:p>
    <w:p>
      <w:pPr>
        <w:spacing w:after="0" w:line="40"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exchange or convert shares of the series into other securities or property, and the rate or basis, time, manner and condition of exchange or conversion;</w:t>
      </w:r>
    </w:p>
    <w:p>
      <w:pPr>
        <w:spacing w:after="0" w:line="52" w:lineRule="exact"/>
        <w:rPr>
          <w:rFonts w:ascii="Times New Roman" w:cs="Times New Roman" w:eastAsia="Times New Roman" w:hAnsi="Times New Roman"/>
          <w:sz w:val="15"/>
          <w:szCs w:val="15"/>
          <w:color w:val="auto"/>
        </w:rPr>
      </w:pPr>
    </w:p>
    <w:p>
      <w:pPr>
        <w:ind w:left="1580" w:right="1319" w:hanging="138"/>
        <w:spacing w:after="0" w:line="252"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rights, if any, to which the holders of shares of the series shall be entitled in addition to the voting rights provided by law (provided that, except as required by law or as approved by the stockholders, UAL shall not issue Preferred Stock with voting rights unless such Preferred Stock is convertible into UAL Common Stock, in which case such Preferred Stock may vote with the UAL Common Stock on an as-converted basis); and</w:t>
      </w:r>
    </w:p>
    <w:p>
      <w:pPr>
        <w:spacing w:after="0" w:line="65" w:lineRule="exact"/>
        <w:rPr>
          <w:rFonts w:ascii="Times New Roman" w:cs="Times New Roman" w:eastAsia="Times New Roman" w:hAnsi="Times New Roman"/>
          <w:sz w:val="15"/>
          <w:szCs w:val="15"/>
          <w:color w:val="auto"/>
        </w:rPr>
      </w:pPr>
    </w:p>
    <w:p>
      <w:pPr>
        <w:jc w:val="both"/>
        <w:ind w:left="1580" w:right="119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 condition or provision with respect to the series not inconsistent with the provisions of Article Fourth, Part I of UAL’s amended and restated certificate of incorporation or any resolution adopted by the Board pursuant thereto.</w:t>
      </w:r>
    </w:p>
    <w:p>
      <w:pPr>
        <w:spacing w:after="0" w:line="84"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The Board has established a series of Preferred Stock designated the “Series A Junior Participating Serial Preferred Stock”, initially consisting of 1,000,000 shares, with the rights preferences, powers and limitations set forth in the Certificate of Designation of Series A Junior Participating Series Preferred Stock, summarized below.</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Series A Preferred Stock</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Rights to Purchase Series A Preferred Stock</w:t>
      </w:r>
    </w:p>
    <w:p>
      <w:pPr>
        <w:spacing w:after="0" w:line="117"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In connection with the Tax Benefits Preservation Plan, dated as of December 4, 2020 and as amended on January 21, 2021 (the “Tax Benefits Preservation Plan”), by and between UAL and Computershare Trust Company, N.A., as rights agent (and any successor agent, the “Rights Agent”), the Board declared a</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4" w:lineRule="auto"/>
        <w:rPr>
          <w:sz w:val="20"/>
          <w:szCs w:val="20"/>
          <w:color w:val="auto"/>
        </w:rPr>
      </w:pPr>
      <w:r>
        <w:rPr>
          <w:rFonts w:ascii="Times New Roman" w:cs="Times New Roman" w:eastAsia="Times New Roman" w:hAnsi="Times New Roman"/>
          <w:sz w:val="15"/>
          <w:szCs w:val="15"/>
          <w:color w:val="auto"/>
        </w:rPr>
        <w:t>dividend of one right (a “Right”) to purchase from UAL one one-thousandth of a share of Series A Preferred Stock to stockholders of record at the close of business on December 14, 2020 (the “Record Date”). Each Right entitles its holder, under the circumstances described below, to purchase from UAL one one-thousandth of a share of Series A Preferred Stock, at an exercise price of $250.00 per Right, subject to adjustment.</w:t>
      </w:r>
    </w:p>
    <w:p>
      <w:pPr>
        <w:spacing w:after="0" w:line="27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The Rights attach to any shares of UAL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w:t>
      </w:r>
    </w:p>
    <w:p>
      <w:pPr>
        <w:spacing w:after="0" w:line="93" w:lineRule="exact"/>
        <w:rPr>
          <w:sz w:val="20"/>
          <w:szCs w:val="20"/>
          <w:color w:val="auto"/>
        </w:rPr>
      </w:pPr>
    </w:p>
    <w:p>
      <w:pPr>
        <w:ind w:left="1140" w:right="1299" w:firstLine="294"/>
        <w:spacing w:after="0"/>
        <w:rPr>
          <w:sz w:val="20"/>
          <w:szCs w:val="20"/>
          <w:color w:val="auto"/>
        </w:rPr>
      </w:pPr>
      <w:r>
        <w:rPr>
          <w:rFonts w:ascii="Times New Roman" w:cs="Times New Roman" w:eastAsia="Times New Roman" w:hAnsi="Times New Roman"/>
          <w:sz w:val="15"/>
          <w:szCs w:val="15"/>
          <w:color w:val="auto"/>
        </w:rPr>
        <w:t>Until the Distribution Time, the Rights are associated with UAL Common Stock and evidenced by UAL Common Stock certificates or, in the case of uncertificated shares of UAL Common Stock, the book-entry account that evidences record ownership of such shares, which contains a notation incorporating the Tax Benefits Preservation Plan by reference, and the Rights are transferable with and only with the underlying shares of UAL Common Stock.</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Separation and Distribution of Rights; Exercisability</w:t>
      </w:r>
    </w:p>
    <w:p>
      <w:pPr>
        <w:spacing w:after="0" w:line="128" w:lineRule="exact"/>
        <w:rPr>
          <w:sz w:val="20"/>
          <w:szCs w:val="20"/>
          <w:color w:val="auto"/>
        </w:rPr>
      </w:pPr>
    </w:p>
    <w:p>
      <w:pPr>
        <w:ind w:left="1140" w:right="1279" w:firstLine="294"/>
        <w:spacing w:after="0" w:line="256" w:lineRule="auto"/>
        <w:rPr>
          <w:sz w:val="20"/>
          <w:szCs w:val="20"/>
          <w:color w:val="auto"/>
        </w:rPr>
      </w:pPr>
      <w:r>
        <w:rPr>
          <w:rFonts w:ascii="Times New Roman" w:cs="Times New Roman" w:eastAsia="Times New Roman" w:hAnsi="Times New Roman"/>
          <w:sz w:val="15"/>
          <w:szCs w:val="15"/>
          <w:color w:val="auto"/>
        </w:rPr>
        <w:t>Subject to certain exceptions, the Rights become exercisable and trade separately from UAL Common Stock only upon the “Distribution Time,” which occurs upon the earlier of:</w:t>
      </w:r>
    </w:p>
    <w:p>
      <w:pPr>
        <w:spacing w:after="0" w:line="52" w:lineRule="exact"/>
        <w:rPr>
          <w:sz w:val="20"/>
          <w:szCs w:val="20"/>
          <w:color w:val="auto"/>
        </w:rPr>
      </w:pPr>
    </w:p>
    <w:p>
      <w:pPr>
        <w:ind w:left="1580" w:hanging="138"/>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close of business on the tenth (10th) day after the “Stock Acquisition Date” (which​ is defined as</w:t>
      </w:r>
    </w:p>
    <w:p>
      <w:pPr>
        <w:spacing w:after="0" w:line="18" w:lineRule="exact"/>
        <w:rPr>
          <w:rFonts w:ascii="Times New Roman" w:cs="Times New Roman" w:eastAsia="Times New Roman" w:hAnsi="Times New Roman"/>
          <w:sz w:val="15"/>
          <w:szCs w:val="15"/>
          <w:color w:val="auto"/>
        </w:rPr>
      </w:pPr>
    </w:p>
    <w:p>
      <w:pPr>
        <w:ind w:left="1580" w:right="127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first date of public announcement that any person or group has become an “Acquiring Person,” which is defined as a person or group that, together with its affiliates and associates, beneficially owns 4.9% or more of the outstanding shares of UAL Common Stock (with certain exceptions, including those described below) or (b) such other date, as determined by the Board, on which a person or group has become an Acquiring Person) or</w:t>
      </w:r>
    </w:p>
    <w:p>
      <w:pPr>
        <w:spacing w:after="0" w:line="69"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98"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The Board may determine that any person is an Acquiring Person if such person becomes the beneficial owner of 4.9% of the then-outstanding shares of UAL Common Stock under the regulations promulgated under the Internal Revenue Code of 1986, as amended (the “Code”).</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An Acquiring Person does not include:</w:t>
      </w:r>
    </w:p>
    <w:p>
      <w:pPr>
        <w:spacing w:after="0" w:line="81" w:lineRule="exact"/>
        <w:rPr>
          <w:sz w:val="20"/>
          <w:szCs w:val="20"/>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or any subsidiary of UAL;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officer, director or employee of UAL or any subsidiary of UAL in his or her capacity as such;</w:t>
      </w:r>
    </w:p>
    <w:p>
      <w:pPr>
        <w:spacing w:after="0" w:line="92" w:lineRule="exact"/>
        <w:rPr>
          <w:rFonts w:ascii="Times New Roman" w:cs="Times New Roman" w:eastAsia="Times New Roman" w:hAnsi="Times New Roman"/>
          <w:sz w:val="15"/>
          <w:szCs w:val="15"/>
          <w:color w:val="auto"/>
        </w:rPr>
      </w:pPr>
    </w:p>
    <w:p>
      <w:pPr>
        <w:ind w:left="1580" w:right="1259" w:hanging="138"/>
        <w:spacing w:after="0" w:line="254"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w:t>
      </w:r>
    </w:p>
    <w:p>
      <w:pPr>
        <w:spacing w:after="0" w:line="64" w:lineRule="exact"/>
        <w:rPr>
          <w:rFonts w:ascii="Times New Roman" w:cs="Times New Roman" w:eastAsia="Times New Roman" w:hAnsi="Times New Roman"/>
          <w:sz w:val="15"/>
          <w:szCs w:val="15"/>
          <w:color w:val="auto"/>
        </w:rPr>
      </w:pPr>
    </w:p>
    <w:p>
      <w:pPr>
        <w:ind w:left="1580" w:right="1159" w:hanging="138"/>
        <w:spacing w:after="0" w:line="250"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or group, together with its affiliates and associates, whose beneficial ownership of 4.9% or more of the then-outstanding shares of UAL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70" w:lineRule="exact"/>
        <w:rPr>
          <w:rFonts w:ascii="Times New Roman" w:cs="Times New Roman" w:eastAsia="Times New Roman" w:hAnsi="Times New Roman"/>
          <w:sz w:val="15"/>
          <w:szCs w:val="15"/>
          <w:color w:val="auto"/>
        </w:rPr>
      </w:pPr>
    </w:p>
    <w:p>
      <w:pPr>
        <w:ind w:left="1580" w:right="1339" w:hanging="138"/>
        <w:spacing w:after="0" w:line="252" w:lineRule="auto"/>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or group that, together with its affiliates and associates, as of immediately prior to the first public announcement of the adoption of the Tax Benefits Preservation Plan, beneficially owns 4.9% or more of the outstanding shares of UAL Common Stock so long as such person or group continues to beneficially own at least 4.9% of the outstanding shares of UAL Common Stock and does not acquire shares of UAL Common Stock to beneficially own an amount equal to or greater</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99"/>
        <w:spacing w:after="0" w:line="258" w:lineRule="auto"/>
        <w:rPr>
          <w:sz w:val="20"/>
          <w:szCs w:val="20"/>
          <w:color w:val="auto"/>
        </w:rPr>
      </w:pPr>
      <w:r>
        <w:rPr>
          <w:rFonts w:ascii="Times New Roman" w:cs="Times New Roman" w:eastAsia="Times New Roman" w:hAnsi="Times New Roman"/>
          <w:sz w:val="15"/>
          <w:szCs w:val="15"/>
          <w:color w:val="auto"/>
        </w:rPr>
        <w:t>than the greater of 4.9% and the sum of the lowest beneficial ownership of such person or group since the public announcement of the adoption of the Tax Benefits Preservation Plan plus one share of UAL Common Stock.</w:t>
      </w:r>
    </w:p>
    <w:p>
      <w:pPr>
        <w:spacing w:after="0" w:line="95" w:lineRule="exact"/>
        <w:rPr>
          <w:sz w:val="20"/>
          <w:szCs w:val="20"/>
          <w:color w:val="auto"/>
        </w:rPr>
      </w:pPr>
    </w:p>
    <w:p>
      <w:pPr>
        <w:ind w:left="1140" w:right="1259" w:firstLine="294"/>
        <w:spacing w:after="0" w:line="248" w:lineRule="auto"/>
        <w:rPr>
          <w:sz w:val="20"/>
          <w:szCs w:val="20"/>
          <w:color w:val="auto"/>
        </w:rPr>
      </w:pPr>
      <w:r>
        <w:rPr>
          <w:rFonts w:ascii="Times New Roman" w:cs="Times New Roman" w:eastAsia="Times New Roman" w:hAnsi="Times New Roman"/>
          <w:sz w:val="15"/>
          <w:szCs w:val="15"/>
          <w:color w:val="auto"/>
        </w:rPr>
        <w:t>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UAL Common Stock then outstanding under specified regulations promulgated under the Code.</w:t>
      </w:r>
    </w:p>
    <w:p>
      <w:pPr>
        <w:spacing w:after="0" w:line="105"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Certain synthetic interests in securities created by derivative positions, whether or not such interests are considered to be ownership of the underlying UAL Common Stock or are reportable for purposes of Regulation 13D of the Exchange Act are treated as beneficial ownership of the number of shares of UAL Common Stock equivalent to the economic exposure created by the derivative position, to the extent actual shares of UAL Common Stock are directly or indirectly held by counterparties to the derivatives contracts. In addition, for purposes of the Tax Benefits Preservation Plan, a person or group is deemed to beneficially own shares that such person is deemed to directly, indirectly or constructively own (as determined for purposes of Section 382 of the Code or the regulations promulgated under the Code), and Warrants and Warrant Shares (as each is defined in the Warrant Agreement, dated as of April 20, 2020, between UAL and the United States Department of the Treasury and the Warrant Agreement, dated as of September 28, 2020, between UAL and the United States Department of the Treasury) are disregarded for purposes of determining beneficial ownership.</w:t>
      </w:r>
    </w:p>
    <w:p>
      <w:pPr>
        <w:spacing w:after="0" w:line="1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Expiration Time</w:t>
      </w:r>
    </w:p>
    <w:p>
      <w:pPr>
        <w:spacing w:after="0" w:line="117"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The Rights will expire on the earliest to occur of (a) the close of business on December 4, 2023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 (d)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w:t>
      </w:r>
    </w:p>
    <w:p>
      <w:pPr>
        <w:spacing w:after="0" w:line="1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Flip-in Event</w:t>
      </w:r>
    </w:p>
    <w:p>
      <w:pPr>
        <w:spacing w:after="0" w:line="128"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UAL Common Stock having a value equal to two times the exercise price of the Right.</w:t>
      </w:r>
    </w:p>
    <w:p>
      <w:pPr>
        <w:spacing w:after="0" w:line="99" w:lineRule="exact"/>
        <w:rPr>
          <w:sz w:val="20"/>
          <w:szCs w:val="20"/>
          <w:color w:val="auto"/>
        </w:rPr>
      </w:pPr>
    </w:p>
    <w:p>
      <w:pPr>
        <w:ind w:left="1140" w:right="1159" w:firstLine="294"/>
        <w:spacing w:after="0" w:line="253" w:lineRule="auto"/>
        <w:rPr>
          <w:sz w:val="20"/>
          <w:szCs w:val="20"/>
          <w:color w:val="auto"/>
        </w:rPr>
      </w:pPr>
      <w:r>
        <w:rPr>
          <w:rFonts w:ascii="Times New Roman" w:cs="Times New Roman" w:eastAsia="Times New Roman" w:hAnsi="Times New Roman"/>
          <w:sz w:val="15"/>
          <w:szCs w:val="15"/>
          <w:color w:val="auto"/>
        </w:rPr>
        <w:t>For example, at an exercise price of $250.00 per Right, each Right not owned by an Acquiring Person (or by certain related parties) following a Flip-in Event would entitle its holder to purchase $500.00 worth of UAL Common Stock for $250.00. Assuming that UAL Common Stock had a per share value of $50.00 at that time, the holder of each valid Right would be entitled to purchase ten shares of UAL Common Stock for $250.00.</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Flip-over Event</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In the event that, at any time following the Stock Acquisition Date, any of the following occurs:</w:t>
      </w:r>
    </w:p>
    <w:p>
      <w:pPr>
        <w:spacing w:after="0" w:line="92" w:lineRule="exact"/>
        <w:rPr>
          <w:sz w:val="20"/>
          <w:szCs w:val="20"/>
          <w:color w:val="auto"/>
        </w:rPr>
      </w:pPr>
    </w:p>
    <w:p>
      <w:pPr>
        <w:ind w:left="1580" w:right="129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consolidates with, or merges with and into, any other entity, and UAL is not the continuing or surviving entity;</w:t>
      </w:r>
    </w:p>
    <w:p>
      <w:pPr>
        <w:spacing w:after="0" w:line="52" w:lineRule="exact"/>
        <w:rPr>
          <w:rFonts w:ascii="Times New Roman" w:cs="Times New Roman" w:eastAsia="Times New Roman" w:hAnsi="Times New Roman"/>
          <w:sz w:val="15"/>
          <w:szCs w:val="15"/>
          <w:color w:val="auto"/>
        </w:rPr>
      </w:pPr>
    </w:p>
    <w:p>
      <w:pPr>
        <w:ind w:left="1580" w:right="1159" w:hanging="138"/>
        <w:spacing w:after="0" w:line="254"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entity engages in a share exchange with or consolidates with, or merges with or into, UAL, and UAL is the continuing or surviving entity and, in connection with such share exchange, consolidation or merger, all or part of the outstanding shares of UAL Common Stock are changed into or exchanged for stock or other securities of any other entity or cash or any other property; or</w:t>
      </w:r>
    </w:p>
    <w:p>
      <w:pPr>
        <w:spacing w:after="0" w:line="64"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UAL sells or otherwise transfers, in one transaction or a series of related transactions, 50% or more of UAL’s assets, cash flow or earning power,</w:t>
      </w:r>
    </w:p>
    <w:p>
      <w:pPr>
        <w:spacing w:after="0" w:line="74" w:lineRule="exact"/>
        <w:rPr>
          <w:sz w:val="20"/>
          <w:szCs w:val="20"/>
          <w:color w:val="auto"/>
        </w:rPr>
      </w:pPr>
    </w:p>
    <w:p>
      <w:pPr>
        <w:ind w:left="1140" w:right="1179"/>
        <w:spacing w:after="0" w:line="251" w:lineRule="auto"/>
        <w:rPr>
          <w:sz w:val="20"/>
          <w:szCs w:val="20"/>
          <w:color w:val="auto"/>
        </w:rPr>
      </w:pPr>
      <w:r>
        <w:rPr>
          <w:rFonts w:ascii="Times New Roman" w:cs="Times New Roman" w:eastAsia="Times New Roman" w:hAnsi="Times New Roman"/>
          <w:sz w:val="15"/>
          <w:szCs w:val="15"/>
          <w:color w:val="auto"/>
        </w:rPr>
        <w:t>then each holder of a Right (except Rights which previously have been voided as described above) will have the right to receive, upon exercise, common stock of the acquiring company having a value equal to two times the exercise price of the Right.</w:t>
      </w:r>
    </w:p>
    <w:p>
      <w:pPr>
        <w:spacing w:after="0" w:line="1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Series A Preferred Stock Provisions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Each share of Series A Preferred Stock, if issued: will not be redeemable, will entitle the holder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thereof, when, as and if declared, to quarterly dividend payments equal to the greater of $1,000 per share</w:t>
      </w:r>
    </w:p>
    <w:p>
      <w:pPr>
        <w:ind w:left="1140"/>
        <w:spacing w:after="0" w:line="236" w:lineRule="auto"/>
        <w:rPr>
          <w:sz w:val="20"/>
          <w:szCs w:val="20"/>
          <w:color w:val="auto"/>
        </w:rPr>
      </w:pPr>
      <w:r>
        <w:rPr>
          <w:rFonts w:ascii="Times New Roman" w:cs="Times New Roman" w:eastAsia="Times New Roman" w:hAnsi="Times New Roman"/>
          <w:sz w:val="15"/>
          <w:szCs w:val="15"/>
          <w:color w:val="auto"/>
        </w:rPr>
        <w:t>and 1,000 times the amount of all cash dividends plus 1,000 times the amount of non-cash dividends or</w:t>
      </w:r>
    </w:p>
    <w:p>
      <w:pPr>
        <w:ind w:left="1140"/>
        <w:spacing w:after="0" w:line="230" w:lineRule="auto"/>
        <w:rPr>
          <w:sz w:val="20"/>
          <w:szCs w:val="20"/>
          <w:color w:val="auto"/>
        </w:rPr>
      </w:pPr>
      <w:r>
        <w:rPr>
          <w:rFonts w:ascii="Times New Roman" w:cs="Times New Roman" w:eastAsia="Times New Roman" w:hAnsi="Times New Roman"/>
          <w:sz w:val="15"/>
          <w:szCs w:val="15"/>
          <w:color w:val="auto"/>
        </w:rPr>
        <w:t>other distributions paid on one share of UAL Common Stock, will entitle the holder thereof to receive</w:t>
      </w:r>
    </w:p>
    <w:p>
      <w:pPr>
        <w:ind w:left="1140"/>
        <w:spacing w:after="0" w:line="230" w:lineRule="auto"/>
        <w:rPr>
          <w:sz w:val="20"/>
          <w:szCs w:val="20"/>
          <w:color w:val="auto"/>
        </w:rPr>
      </w:pPr>
      <w:r>
        <w:rPr>
          <w:rFonts w:ascii="Times New Roman" w:cs="Times New Roman" w:eastAsia="Times New Roman" w:hAnsi="Times New Roman"/>
          <w:sz w:val="15"/>
          <w:szCs w:val="15"/>
          <w:color w:val="auto"/>
        </w:rPr>
        <w:t>$1,000 plus accrued and unpaid dividends per share upon liquidation and, if shares of UAL Common Stock</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are exchanged via merger, consolidation or a similar transaction, will entitle the holder thereof to a per share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payment equal to the payment made on 1,000 shares of UAL Common Stock.</w:t>
      </w:r>
    </w:p>
    <w:p>
      <w:pPr>
        <w:spacing w:after="0" w:line="1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Anti-Dilution Adjustments</w:t>
      </w:r>
    </w:p>
    <w:p>
      <w:pPr>
        <w:spacing w:after="0" w:line="128"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The exercise price payable, and the number of shares of Series A Preferred Stock or other securities or property issuable, upon exercise of the Rights are subject to adjustment from time to time to prevent dilution:</w:t>
      </w:r>
    </w:p>
    <w:p>
      <w:pPr>
        <w:spacing w:after="0" w:line="245" w:lineRule="exact"/>
        <w:rPr>
          <w:sz w:val="20"/>
          <w:szCs w:val="20"/>
          <w:color w:val="auto"/>
        </w:rPr>
      </w:pPr>
    </w:p>
    <w:p>
      <w:pPr>
        <w:ind w:left="1580" w:right="1239" w:hanging="138"/>
        <w:spacing w:after="0" w:line="271"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stock dividend on, or a subdivision, combination or reclassification of, the Series A Preferred Stock,</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58"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50" w:lineRule="exact"/>
        <w:rPr>
          <w:rFonts w:ascii="Times New Roman" w:cs="Times New Roman" w:eastAsia="Times New Roman" w:hAnsi="Times New Roman"/>
          <w:sz w:val="15"/>
          <w:szCs w:val="15"/>
          <w:color w:val="auto"/>
        </w:rPr>
      </w:pPr>
    </w:p>
    <w:p>
      <w:pPr>
        <w:ind w:left="1580" w:right="1319" w:hanging="138"/>
        <w:spacing w:after="0" w:line="258"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95" w:lineRule="exact"/>
        <w:rPr>
          <w:sz w:val="20"/>
          <w:szCs w:val="20"/>
          <w:color w:val="auto"/>
        </w:rPr>
      </w:pPr>
    </w:p>
    <w:p>
      <w:pPr>
        <w:ind w:left="1140" w:right="1419" w:firstLine="294"/>
        <w:spacing w:after="0" w:line="254" w:lineRule="auto"/>
        <w:rPr>
          <w:sz w:val="20"/>
          <w:szCs w:val="20"/>
          <w:color w:val="auto"/>
        </w:rPr>
      </w:pPr>
      <w:r>
        <w:rPr>
          <w:rFonts w:ascii="Times New Roman" w:cs="Times New Roman" w:eastAsia="Times New Roman" w:hAnsi="Times New Roman"/>
          <w:sz w:val="15"/>
          <w:szCs w:val="15"/>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 Exchange</w:t>
      </w:r>
    </w:p>
    <w:p>
      <w:pPr>
        <w:spacing w:after="0" w:line="12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At any time prior to the earlier of (i) the close of business on the tenth (10th) day following the Stock Acquisition Date or (ii) the Final Expiration Time, UAL may redeem the Rights in whole, but not in part, at a price of $0.001 per Right (subject to adjustment and payable in cash, UAL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92"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At any time after any Acquiring Person, together with all of its affiliates and associates, becomes the beneficial owner of fifty percent (50%) or more of the outstanding shares of UAL Common Stock, UAL</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44" w:lineRule="auto"/>
        <w:rPr>
          <w:sz w:val="20"/>
          <w:szCs w:val="20"/>
          <w:color w:val="auto"/>
        </w:rPr>
      </w:pPr>
      <w:r>
        <w:rPr>
          <w:rFonts w:ascii="Times New Roman" w:cs="Times New Roman" w:eastAsia="Times New Roman" w:hAnsi="Times New Roman"/>
          <w:sz w:val="15"/>
          <w:szCs w:val="15"/>
          <w:color w:val="auto"/>
        </w:rPr>
        <w:t>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UAL Common Stock, or one one-thousandth of a share of Series A Preferred Stock (or of a share of a class or series of Serial Preferred Stock having equivalent rights, preferences and privileges), per Right (subject to adjustment).</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Exemption Requests</w:t>
      </w:r>
    </w:p>
    <w:p>
      <w:pPr>
        <w:spacing w:after="0" w:line="12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A person desiring to effect a transaction that might result in such person becoming a beneficial owner of 4.9% or more of the then-outstanding shares of UAL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1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Amendment of the Tax Benefits Preservation Plan</w:t>
      </w:r>
    </w:p>
    <w:p>
      <w:pPr>
        <w:spacing w:after="0" w:line="12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Miscellaneous</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While the distribution of the Rights is not taxable to stockholders or to UAL, stockholders may, depending upon the circumstances, recognize taxable income in the event that the Rights become exercisable for UAL Common Stock (or other consideration) or for common stock of the acquiring company or in the event of the redemption of the Rights as described above.</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Class Pilot MEC Junior Preferred Stock</w:t>
      </w:r>
    </w:p>
    <w:p>
      <w:pPr>
        <w:spacing w:after="0" w:line="117"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UAL currently has one share of Class Pilot MEC Junior Preferred Stock outstanding, which may be held only by the United Airlines Pilots Master Executive Council (the “MEC”) of the Air Line Pilots Association, International (“ALPA”) or a duly authorized agent acting for the benefit of the MEC, and may only be transferred in certain limited circumstances specified in UAL’s amended and restated certificate of incorporation.</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17" w:lineRule="exact"/>
        <w:rPr>
          <w:sz w:val="20"/>
          <w:szCs w:val="20"/>
          <w:color w:val="auto"/>
        </w:rPr>
      </w:pPr>
    </w:p>
    <w:p>
      <w:pPr>
        <w:ind w:left="1140" w:right="1319" w:firstLine="294"/>
        <w:spacing w:after="0" w:line="271" w:lineRule="auto"/>
        <w:rPr>
          <w:sz w:val="20"/>
          <w:szCs w:val="20"/>
          <w:color w:val="auto"/>
        </w:rPr>
      </w:pPr>
      <w:r>
        <w:rPr>
          <w:rFonts w:ascii="Times New Roman" w:cs="Times New Roman" w:eastAsia="Times New Roman" w:hAnsi="Times New Roman"/>
          <w:sz w:val="15"/>
          <w:szCs w:val="15"/>
          <w:color w:val="auto"/>
        </w:rPr>
        <w:t>The holder of the Class Pilot MEC Junior Preferred Stock is not entitled to receive dividends or other distributions, except as described under “— Liquidation” below.</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2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the Class Pilot MEC Junior Preferred Stock, including any shares of UAL’s Preferred Stock, have been paid in full that to which they are entitled, the holder of the Class Pilot MEC Junior Preferred Stock will be entitled to receive $0.01 for the share of Class Pilot MEC Junior Preferred Stock, but such holder shall not be entitled to any further payment.</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holder of the share of Class Pilot MEC Junior Preferred Stock has the following voting rights:</w:t>
      </w:r>
    </w:p>
    <w:p>
      <w:pPr>
        <w:spacing w:after="0" w:line="126" w:lineRule="exact"/>
        <w:rPr>
          <w:sz w:val="20"/>
          <w:szCs w:val="20"/>
          <w:color w:val="auto"/>
        </w:rPr>
      </w:pPr>
    </w:p>
    <w:p>
      <w:pPr>
        <w:ind w:left="2020" w:hanging="283"/>
        <w:spacing w:after="0"/>
        <w:tabs>
          <w:tab w:leader="none" w:pos="20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such time (the “ALPA Termination Date”) as there are no longer any persons</w:t>
      </w:r>
    </w:p>
    <w:p>
      <w:pPr>
        <w:spacing w:after="0" w:line="9" w:lineRule="exact"/>
        <w:rPr>
          <w:rFonts w:ascii="Times New Roman" w:cs="Times New Roman" w:eastAsia="Times New Roman" w:hAnsi="Times New Roman"/>
          <w:sz w:val="15"/>
          <w:szCs w:val="15"/>
          <w:color w:val="auto"/>
        </w:rPr>
      </w:pPr>
    </w:p>
    <w:p>
      <w:pPr>
        <w:ind w:left="14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represented by ALPA (or a successor to the MEC by merger or reorganization of ALPA) employed by</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179"/>
        <w:spacing w:after="0"/>
        <w:rPr>
          <w:sz w:val="20"/>
          <w:szCs w:val="20"/>
          <w:color w:val="auto"/>
        </w:rPr>
      </w:pPr>
      <w:r>
        <w:rPr>
          <w:rFonts w:ascii="Times New Roman" w:cs="Times New Roman" w:eastAsia="Times New Roman" w:hAnsi="Times New Roman"/>
          <w:sz w:val="15"/>
          <w:szCs w:val="15"/>
          <w:color w:val="auto"/>
        </w:rPr>
        <w:t>UAL or any of its affiliates or the collective bargaining agreement between UAL or any of its affiliates and ALPA has been amended so that such agreement no longer provides that ALPA has the right to appoint a director to the Board, the holder of the share of Class Pilot MEC Junior Preferred Stock shall have the right (i) voting as a separate class, to (1) elect one director to the Board at each annual meeting of stockholders for a term of office to expire at the succeeding annual meeting of stockholders,</w:t>
      </w:r>
    </w:p>
    <w:p>
      <w:pPr>
        <w:spacing w:after="0" w:line="4" w:lineRule="exact"/>
        <w:rPr>
          <w:sz w:val="20"/>
          <w:szCs w:val="20"/>
          <w:color w:val="auto"/>
        </w:rPr>
      </w:pPr>
    </w:p>
    <w:p>
      <w:pPr>
        <w:ind w:left="1440" w:right="1239" w:firstLine="2"/>
        <w:spacing w:after="0" w:line="237" w:lineRule="auto"/>
        <w:tabs>
          <w:tab w:leader="none" w:pos="16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w:t>
      </w:r>
    </w:p>
    <w:p>
      <w:pPr>
        <w:spacing w:after="0" w:line="99" w:lineRule="exact"/>
        <w:rPr>
          <w:rFonts w:ascii="Times New Roman" w:cs="Times New Roman" w:eastAsia="Times New Roman" w:hAnsi="Times New Roman"/>
          <w:sz w:val="15"/>
          <w:szCs w:val="15"/>
          <w:color w:val="auto"/>
        </w:rPr>
      </w:pPr>
    </w:p>
    <w:p>
      <w:pPr>
        <w:ind w:left="1440" w:right="1299" w:firstLine="297"/>
        <w:spacing w:after="0"/>
        <w:tabs>
          <w:tab w:leader="none" w:pos="2031"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affirmative vote of the holder of the share of Class Pilot MEC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Pilot MEC Junior Preferred Stock.</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share of Class Pilot MEC Junior Preferred Stock will be automatically redeemed by UAL, at a</w:t>
      </w:r>
    </w:p>
    <w:p>
      <w:pPr>
        <w:spacing w:after="0" w:line="9" w:lineRule="exact"/>
        <w:rPr>
          <w:sz w:val="20"/>
          <w:szCs w:val="20"/>
          <w:color w:val="auto"/>
        </w:rPr>
      </w:pPr>
    </w:p>
    <w:p>
      <w:pPr>
        <w:ind w:left="1140" w:right="1179"/>
        <w:spacing w:after="0" w:line="249" w:lineRule="auto"/>
        <w:rPr>
          <w:sz w:val="20"/>
          <w:szCs w:val="20"/>
          <w:color w:val="auto"/>
        </w:rPr>
      </w:pPr>
      <w:r>
        <w:rPr>
          <w:rFonts w:ascii="Times New Roman" w:cs="Times New Roman" w:eastAsia="Times New Roman" w:hAnsi="Times New Roman"/>
          <w:sz w:val="15"/>
          <w:szCs w:val="15"/>
          <w:color w:val="auto"/>
        </w:rPr>
        <w:t>price of $0.01 per share, on the ALPA Termination Date or upon any purported transfer thereof other than as expressly permitted under UAL’s amended and restated certificate of incorporation.</w:t>
      </w:r>
    </w:p>
    <w:p>
      <w:pPr>
        <w:spacing w:after="0" w:line="1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Ranking</w:t>
      </w:r>
    </w:p>
    <w:p>
      <w:pPr>
        <w:spacing w:after="0" w:line="128" w:lineRule="exact"/>
        <w:rPr>
          <w:sz w:val="20"/>
          <w:szCs w:val="20"/>
          <w:color w:val="auto"/>
        </w:rPr>
      </w:pPr>
    </w:p>
    <w:p>
      <w:pPr>
        <w:ind w:left="1140" w:right="1339" w:firstLine="294"/>
        <w:spacing w:after="0" w:line="243" w:lineRule="auto"/>
        <w:rPr>
          <w:sz w:val="20"/>
          <w:szCs w:val="20"/>
          <w:color w:val="auto"/>
        </w:rPr>
      </w:pPr>
      <w:r>
        <w:rPr>
          <w:rFonts w:ascii="Times New Roman" w:cs="Times New Roman" w:eastAsia="Times New Roman" w:hAnsi="Times New Roman"/>
          <w:sz w:val="15"/>
          <w:szCs w:val="15"/>
          <w:color w:val="auto"/>
        </w:rPr>
        <w:t>The Class Pilot MEC Junior Preferred Stock is deemed to rank on a parity with the Class IAM Junior Preferred Stock and senior to the UAL Common Stock as to amounts distributable upon liquidation, dissolution or winding up of UAL.</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Class IAM Junior Preferred Stock</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UAL currently has one share of Class IAM Junior Preferred Stock outstanding, which may be held only by the International Association of Machinists and Aerospace Workers (the “IAM”) or a duly authorized agent acting for the benefit of the IAM, and may only be transferred in certain limited circumstances specified in UAL’s amended and restated certificate of incorporation.</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28" w:lineRule="exact"/>
        <w:rPr>
          <w:sz w:val="20"/>
          <w:szCs w:val="20"/>
          <w:color w:val="auto"/>
        </w:rPr>
      </w:pPr>
    </w:p>
    <w:p>
      <w:pPr>
        <w:ind w:left="1140" w:right="1679" w:firstLine="294"/>
        <w:spacing w:after="0" w:line="256" w:lineRule="auto"/>
        <w:rPr>
          <w:sz w:val="20"/>
          <w:szCs w:val="20"/>
          <w:color w:val="auto"/>
        </w:rPr>
      </w:pPr>
      <w:r>
        <w:rPr>
          <w:rFonts w:ascii="Times New Roman" w:cs="Times New Roman" w:eastAsia="Times New Roman" w:hAnsi="Times New Roman"/>
          <w:sz w:val="15"/>
          <w:szCs w:val="15"/>
          <w:color w:val="auto"/>
        </w:rPr>
        <w:t>The holder of the Class IAM Junior Preferred Stock is not entitled to receive dividends or other distributions, except as described under “— Liquidation” below.</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Liquidation</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Upon any liquidation, dissolution or winding up of UAL, after all securities ranking prior to the Class IAM Junior Preferred Stock, including any shares of UAL’s Preferred Stock, have been paid in full that to which they are entitled, the holder of the Class IAM Junior Preferred Stock will be entitled to receive $0.01 for the share of Class IAM Junior Preferred Stock, but such holder shall not be entitled to any further payment.</w:t>
      </w:r>
    </w:p>
    <w:p>
      <w:pPr>
        <w:spacing w:after="0" w:line="3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holder of the share of Class IAM Junior Preferred Stock has the following voting rights:</w:t>
      </w:r>
    </w:p>
    <w:p>
      <w:pPr>
        <w:spacing w:after="0" w:line="115" w:lineRule="exact"/>
        <w:rPr>
          <w:sz w:val="20"/>
          <w:szCs w:val="20"/>
          <w:color w:val="auto"/>
        </w:rPr>
      </w:pPr>
    </w:p>
    <w:p>
      <w:pPr>
        <w:ind w:left="1440" w:right="1219" w:firstLine="297"/>
        <w:spacing w:after="0" w:line="244" w:lineRule="auto"/>
        <w:tabs>
          <w:tab w:leader="none" w:pos="202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such time (the “IAM Termination Date”) as there are no longer any persons represented by the IAM (or a successor to the IAM by merger or reorganization of the IAM) employed by UAL or any of its affiliates or a certain letter agreement between UAL and the IAM no longer provides that the IAM has the right to appoint a director to the Board, the holder of the share of Class IAM Junior Preferred Stock shall have the right (i) voting as a separate class, to (1) elect one director to the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440" w:right="1359"/>
        <w:spacing w:after="0" w:line="242" w:lineRule="auto"/>
        <w:rPr>
          <w:sz w:val="20"/>
          <w:szCs w:val="20"/>
          <w:color w:val="auto"/>
        </w:rPr>
      </w:pPr>
      <w:r>
        <w:rPr>
          <w:rFonts w:ascii="Times New Roman" w:cs="Times New Roman" w:eastAsia="Times New Roman" w:hAnsi="Times New Roman"/>
          <w:sz w:val="15"/>
          <w:szCs w:val="15"/>
          <w:color w:val="auto"/>
        </w:rPr>
        <w:t>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w:t>
      </w:r>
    </w:p>
    <w:p>
      <w:pPr>
        <w:spacing w:after="0" w:line="2" w:lineRule="exact"/>
        <w:rPr>
          <w:sz w:val="20"/>
          <w:szCs w:val="20"/>
          <w:color w:val="auto"/>
        </w:rPr>
      </w:pPr>
    </w:p>
    <w:p>
      <w:pPr>
        <w:ind w:left="1440" w:right="1179" w:firstLine="2"/>
        <w:spacing w:after="0" w:line="237" w:lineRule="auto"/>
        <w:tabs>
          <w:tab w:leader="none" w:pos="1671"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w:t>
      </w:r>
    </w:p>
    <w:p>
      <w:pPr>
        <w:spacing w:after="0" w:line="97" w:lineRule="exact"/>
        <w:rPr>
          <w:rFonts w:ascii="Times New Roman" w:cs="Times New Roman" w:eastAsia="Times New Roman" w:hAnsi="Times New Roman"/>
          <w:sz w:val="15"/>
          <w:szCs w:val="15"/>
          <w:color w:val="auto"/>
        </w:rPr>
      </w:pPr>
    </w:p>
    <w:p>
      <w:pPr>
        <w:ind w:left="1440" w:right="1179" w:firstLine="297"/>
        <w:spacing w:after="0" w:line="244" w:lineRule="auto"/>
        <w:tabs>
          <w:tab w:leader="none" w:pos="2031"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affirmative vote of the holder of the share of Class IAM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IAM Junior Preferred Stock.</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Redemption</w:t>
      </w:r>
    </w:p>
    <w:p>
      <w:pPr>
        <w:spacing w:after="0" w:line="128" w:lineRule="exact"/>
        <w:rPr>
          <w:sz w:val="20"/>
          <w:szCs w:val="20"/>
          <w:color w:val="auto"/>
        </w:rPr>
      </w:pPr>
    </w:p>
    <w:p>
      <w:pPr>
        <w:ind w:left="1140" w:right="1339" w:firstLine="294"/>
        <w:spacing w:after="0" w:line="243" w:lineRule="auto"/>
        <w:rPr>
          <w:sz w:val="20"/>
          <w:szCs w:val="20"/>
          <w:color w:val="auto"/>
        </w:rPr>
      </w:pPr>
      <w:r>
        <w:rPr>
          <w:rFonts w:ascii="Times New Roman" w:cs="Times New Roman" w:eastAsia="Times New Roman" w:hAnsi="Times New Roman"/>
          <w:sz w:val="15"/>
          <w:szCs w:val="15"/>
          <w:color w:val="auto"/>
        </w:rPr>
        <w:t>The share of Class IAM Junior Preferred Stock will be automatically redeemed by UAL, at a price of $0.01 per share, on the IAM Termination Date or upon any purported transfer thereof other than as expressly permitted under UAL’s amended and restated certificate of incorporation.</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Ranking</w:t>
      </w:r>
    </w:p>
    <w:p>
      <w:pPr>
        <w:spacing w:after="0" w:line="117" w:lineRule="exact"/>
        <w:rPr>
          <w:sz w:val="20"/>
          <w:szCs w:val="20"/>
          <w:color w:val="auto"/>
        </w:rPr>
      </w:pPr>
    </w:p>
    <w:p>
      <w:pPr>
        <w:ind w:left="1140" w:right="1339" w:firstLine="294"/>
        <w:spacing w:after="0" w:line="251" w:lineRule="auto"/>
        <w:rPr>
          <w:sz w:val="20"/>
          <w:szCs w:val="20"/>
          <w:color w:val="auto"/>
        </w:rPr>
      </w:pPr>
      <w:r>
        <w:rPr>
          <w:rFonts w:ascii="Times New Roman" w:cs="Times New Roman" w:eastAsia="Times New Roman" w:hAnsi="Times New Roman"/>
          <w:sz w:val="15"/>
          <w:szCs w:val="15"/>
          <w:color w:val="auto"/>
        </w:rPr>
        <w:t>The Class IAM Junior Preferred Stock is deemed to rank on a parity with the Class Pilot MEC Junior Preferred Stock and senior to the UAL Common Stock as to amounts distributable upon liquidation, dissolution or winding up of UAL.</w:t>
      </w:r>
    </w:p>
    <w:p>
      <w:pPr>
        <w:spacing w:after="0" w:line="1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Foreign Ownership Limitation and Certain Anti-Takeover Provisions</w:t>
      </w:r>
    </w:p>
    <w:p>
      <w:pPr>
        <w:spacing w:after="0" w:line="1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Foreign Ownership Limitation</w:t>
      </w:r>
    </w:p>
    <w:p>
      <w:pPr>
        <w:spacing w:after="0" w:line="128" w:lineRule="exact"/>
        <w:rPr>
          <w:sz w:val="20"/>
          <w:szCs w:val="20"/>
          <w:color w:val="auto"/>
        </w:rPr>
      </w:pPr>
    </w:p>
    <w:p>
      <w:pPr>
        <w:jc w:val="both"/>
        <w:ind w:left="1140" w:right="1479" w:firstLine="294"/>
        <w:spacing w:after="0" w:line="251" w:lineRule="auto"/>
        <w:rPr>
          <w:sz w:val="20"/>
          <w:szCs w:val="20"/>
          <w:color w:val="auto"/>
        </w:rPr>
      </w:pPr>
      <w:r>
        <w:rPr>
          <w:rFonts w:ascii="Times New Roman" w:cs="Times New Roman" w:eastAsia="Times New Roman" w:hAnsi="Times New Roman"/>
          <w:sz w:val="15"/>
          <w:szCs w:val="15"/>
          <w:color w:val="auto"/>
        </w:rPr>
        <w:t>UAL’s amended and restated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Undesignated Preferred Stock</w:t>
      </w:r>
    </w:p>
    <w:p>
      <w:pPr>
        <w:spacing w:after="0" w:line="128" w:lineRule="exact"/>
        <w:rPr>
          <w:sz w:val="20"/>
          <w:szCs w:val="20"/>
          <w:color w:val="auto"/>
        </w:rPr>
      </w:pPr>
    </w:p>
    <w:p>
      <w:pPr>
        <w:ind w:left="1140" w:right="1239" w:firstLine="294"/>
        <w:spacing w:after="0" w:line="244" w:lineRule="auto"/>
        <w:rPr>
          <w:sz w:val="20"/>
          <w:szCs w:val="20"/>
          <w:color w:val="auto"/>
        </w:rPr>
      </w:pPr>
      <w:r>
        <w:rPr>
          <w:rFonts w:ascii="Times New Roman" w:cs="Times New Roman" w:eastAsia="Times New Roman" w:hAnsi="Times New Roman"/>
          <w:sz w:val="15"/>
          <w:szCs w:val="15"/>
          <w:color w:val="auto"/>
        </w:rPr>
        <w:t>The ability to issue undesignated Preferred Stock makes it possible for the Board to issue Preferred Stock with super voting, dividend or other special rights or preferences on a discriminatory basis that could impede the success of any attempt to acquire UAL. These and other provisions may have the effect of deferring, delaying or discouraging hostile takeovers, or changes in control or management of UAL.</w:t>
      </w:r>
    </w:p>
    <w:p>
      <w:pPr>
        <w:spacing w:after="0" w:line="1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No Stockholder Action by Written Consent</w:t>
      </w:r>
    </w:p>
    <w:p>
      <w:pPr>
        <w:spacing w:after="0" w:line="128" w:lineRule="exact"/>
        <w:rPr>
          <w:sz w:val="20"/>
          <w:szCs w:val="20"/>
          <w:color w:val="auto"/>
        </w:rPr>
      </w:pPr>
    </w:p>
    <w:p>
      <w:pPr>
        <w:jc w:val="both"/>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UAL’s amended and restated certificate of incorporation provides that any action required or permitted to be taken by UAL stockholders must be effected at a duly called annual or special meeting of stockholders and may not be effected by consent in writing by such stockholders.</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Limitations on Stockholder Rights to Call Special Meetings</w:t>
      </w:r>
    </w:p>
    <w:p>
      <w:pPr>
        <w:spacing w:after="0" w:line="117" w:lineRule="exact"/>
        <w:rPr>
          <w:sz w:val="20"/>
          <w:szCs w:val="20"/>
          <w:color w:val="auto"/>
        </w:rPr>
      </w:pPr>
    </w:p>
    <w:p>
      <w:pPr>
        <w:ind w:left="1140" w:right="1379" w:firstLine="294"/>
        <w:spacing w:after="0" w:line="248" w:lineRule="auto"/>
        <w:rPr>
          <w:sz w:val="20"/>
          <w:szCs w:val="20"/>
          <w:color w:val="auto"/>
        </w:rPr>
      </w:pPr>
      <w:r>
        <w:rPr>
          <w:rFonts w:ascii="Times New Roman" w:cs="Times New Roman" w:eastAsia="Times New Roman" w:hAnsi="Times New Roman"/>
          <w:sz w:val="15"/>
          <w:szCs w:val="15"/>
          <w:color w:val="auto"/>
        </w:rPr>
        <w:t>UAL’s amended and restated bylaws provide that special meetings of the stockholders may be called only (i) by both the Chief Executive Officer and the Chairperson of the Board, (ii) by the Board or</w:t>
      </w:r>
    </w:p>
    <w:p>
      <w:pPr>
        <w:ind w:left="1140" w:right="1219" w:firstLine="8"/>
        <w:spacing w:after="0" w:line="236" w:lineRule="auto"/>
        <w:tabs>
          <w:tab w:leader="none" w:pos="141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requirements set forth in UAL’s amended and restated bylaws, by the Secretary, upon the written request of one or more stockholders of record of UAL that together have continuously held, for their own account or on behalf of others, beneficial ownership of at least a 25% aggregate “net long position” (as​ defined in UAL’s amended and restated bylaws) of the outstanding UAL Common Stock for at least one year prior to the date such request is delivered to UAL.</w:t>
      </w:r>
    </w:p>
    <w:p>
      <w:pPr>
        <w:spacing w:after="0" w:line="1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Requirements for Advance Notification of Stockholder Meetings, Nominations and Proposals</w:t>
      </w:r>
    </w:p>
    <w:p>
      <w:pPr>
        <w:spacing w:after="0" w:line="128" w:lineRule="exact"/>
        <w:rPr>
          <w:sz w:val="20"/>
          <w:szCs w:val="20"/>
          <w:color w:val="auto"/>
        </w:rPr>
      </w:pPr>
    </w:p>
    <w:p>
      <w:pPr>
        <w:ind w:left="1140" w:right="1359" w:firstLine="294"/>
        <w:spacing w:after="0" w:line="256" w:lineRule="auto"/>
        <w:rPr>
          <w:sz w:val="20"/>
          <w:szCs w:val="20"/>
          <w:color w:val="auto"/>
        </w:rPr>
      </w:pPr>
      <w:r>
        <w:rPr>
          <w:rFonts w:ascii="Times New Roman" w:cs="Times New Roman" w:eastAsia="Times New Roman" w:hAnsi="Times New Roman"/>
          <w:sz w:val="15"/>
          <w:szCs w:val="15"/>
          <w:color w:val="auto"/>
        </w:rPr>
        <w:t>UAL’s amended and restated bylaws establish advance notice procedures with respect to stockholder proposals for annual meetings and the nomination of candidates for election as directors to the Board,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7" w:lineRule="auto"/>
        <w:rPr>
          <w:sz w:val="20"/>
          <w:szCs w:val="20"/>
          <w:color w:val="auto"/>
        </w:rPr>
      </w:pPr>
      <w:r>
        <w:rPr>
          <w:rFonts w:ascii="Times New Roman" w:cs="Times New Roman" w:eastAsia="Times New Roman" w:hAnsi="Times New Roman"/>
          <w:sz w:val="15"/>
          <w:szCs w:val="15"/>
          <w:color w:val="auto"/>
        </w:rPr>
        <w:t>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UAL’s amended and restated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w:t>
      </w:r>
    </w:p>
    <w:p>
      <w:pPr>
        <w:spacing w:after="0" w:line="16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No Stockholder Filling of Vacancies</w:t>
      </w:r>
    </w:p>
    <w:p>
      <w:pPr>
        <w:spacing w:after="0" w:line="117"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Board vacancies and newly created directorships may only be filled by a vote of a majority of the directors then in office, even if less than a quorum, or by a sole remaining director. Thus, even if stockholders remove a director from office, the vacancy created by such removal may only be filled by the Board.</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Business Combinations</w:t>
      </w:r>
    </w:p>
    <w:p>
      <w:pPr>
        <w:spacing w:after="0" w:line="117" w:lineRule="exact"/>
        <w:rPr>
          <w:sz w:val="20"/>
          <w:szCs w:val="20"/>
          <w:color w:val="auto"/>
        </w:rPr>
      </w:pPr>
    </w:p>
    <w:p>
      <w:pPr>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UAL is subject to the provisions of Section 203 of the Delaware General Corporation Law (“DGCL”) regulating corporate takeovers. Section 203 prevents certain Delaware corporations from engaging, under certain circumstances, in a “business combination” (as​ defined therein), which includes, among other things, a merger or sale of more than 10% of the corporation’s assets, with any interested stockholder for</w:t>
      </w:r>
    </w:p>
    <w:p>
      <w:pPr>
        <w:ind w:left="1140" w:right="1279"/>
        <w:spacing w:after="0" w:line="235" w:lineRule="auto"/>
        <w:rPr>
          <w:sz w:val="20"/>
          <w:szCs w:val="20"/>
          <w:color w:val="auto"/>
        </w:rPr>
      </w:pPr>
      <w:r>
        <w:rPr>
          <w:rFonts w:ascii="Times New Roman" w:cs="Times New Roman" w:eastAsia="Times New Roman" w:hAnsi="Times New Roman"/>
          <w:sz w:val="15"/>
          <w:szCs w:val="15"/>
          <w:color w:val="auto"/>
        </w:rPr>
        <w:t>three years following the date that the stockholder became an interested stockholder. An interested stockholder is a stockholder who acquired 15% or more of the corporation’s outstanding voting stock or an affiliate or associate of such person.</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i w:val="1"/>
          <w:iCs w:val="1"/>
          <w:color w:val="auto"/>
        </w:rPr>
        <w:t>Tax Benefits Preservation Plan</w:t>
      </w:r>
    </w:p>
    <w:p>
      <w:pPr>
        <w:spacing w:after="0" w:line="117"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The Tax Benefits Preservation Plan could have certain anti-takeover effects because the Rights provided to holders of UAL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28"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UAL’s amended and restated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w:t>
      </w:r>
    </w:p>
    <w:p>
      <w:pPr>
        <w:spacing w:after="0" w:line="3" w:lineRule="exact"/>
        <w:rPr>
          <w:sz w:val="20"/>
          <w:szCs w:val="20"/>
          <w:color w:val="auto"/>
        </w:rPr>
      </w:pPr>
    </w:p>
    <w:p>
      <w:pPr>
        <w:ind w:left="1140" w:right="1179" w:firstLine="8"/>
        <w:spacing w:after="0" w:line="246" w:lineRule="auto"/>
        <w:tabs>
          <w:tab w:leader="none" w:pos="141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UAL or any of its directors, officers or other employees arising pursuant to any provision of the DGCL, UAL’s amended and restated bylaws or UAL’s amended and restated certificate of incorporation (in each case, as may be amended from time to time), (iv) any action asserting a claim against UAL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 under the Securities Act. However, it is possible that a court could find UAL’s forum selection provision to be inapplicable or unenforceable. Furthermore, because the applicability</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2" w:lineRule="auto"/>
        <w:rPr>
          <w:sz w:val="20"/>
          <w:szCs w:val="20"/>
          <w:color w:val="auto"/>
        </w:rPr>
      </w:pPr>
      <w:r>
        <w:rPr>
          <w:rFonts w:ascii="Times New Roman" w:cs="Times New Roman" w:eastAsia="Times New Roman" w:hAnsi="Times New Roman"/>
          <w:sz w:val="15"/>
          <w:szCs w:val="15"/>
          <w:color w:val="auto"/>
        </w:rPr>
        <w:t>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 AND GUARANTEES</w:t>
      </w:r>
    </w:p>
    <w:p>
      <w:pPr>
        <w:spacing w:after="0" w:line="126"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i w:val="1"/>
          <w:iCs w:val="1"/>
          <w:color w:val="auto"/>
        </w:rPr>
        <w:t>The following description of the terms of the debt securities and guarantees sets forth certain general terms and provisions of the debt securities and guarantees to which any prospectus supplement may relate. The particular terms of the debt securities offered by any prospectus supplement and the extent, if any, to which these general provisions may apply to those debt securities and guarantees will be described in the prospectus supplement relating to those debt securities and guarantees. Accordingly, for a description of the terms of a particular issue of debt securities, reference must be made to the prospectus supplement relating thereto and, to the extent applicable, the following description.</w:t>
      </w:r>
    </w:p>
    <w:p>
      <w:pPr>
        <w:spacing w:after="0" w:line="97"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UAL or United may issue debt securities from time to time in one or more series. The debt securities will be general obligations of the applicable issuer. The debt securities issued by UAL or United may be fully and unconditionally guaranteed on a secured or unsecured senior or subordinated basis by the other of such companies. If any series of debt securities will be subordinated to other indebtedness that the applicable issuer has outstanding or may incur, the terms of the subordination will be set forth in the prospectus supplement relating to the subordinated debt securities. Debt securities will be issued under one or more indentures between one or more of us and one or more trustees named in the prospectus supplement. The indenture that UAL and United expect to use has been filed with the SEC and is listed as an exhibit to the registration statement of which this prospectus is a part.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debt securities will represent direct, unsecured, general obligations of UAL or United and:</w:t>
      </w:r>
    </w:p>
    <w:p>
      <w:pPr>
        <w:spacing w:after="0" w:line="81" w:lineRule="exact"/>
        <w:rPr>
          <w:sz w:val="20"/>
          <w:szCs w:val="20"/>
          <w:color w:val="auto"/>
        </w:rPr>
      </w:pPr>
    </w:p>
    <w:p>
      <w:pPr>
        <w:ind w:left="1580" w:right="1219" w:hanging="138"/>
        <w:spacing w:after="0" w:line="271" w:lineRule="auto"/>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rank equally with other unsubordinated debt or may be subordinated to other debt the issuer has or may incur;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in one or more series with the same or various maturities;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at a price of 100% of their principal amount or at a premium or discount;</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issued in registered or bearer form and certificated or uncertificated form; and</w:t>
      </w:r>
    </w:p>
    <w:p>
      <w:pPr>
        <w:spacing w:after="0" w:line="92" w:lineRule="exact"/>
        <w:rPr>
          <w:rFonts w:ascii="Times New Roman" w:cs="Times New Roman" w:eastAsia="Times New Roman" w:hAnsi="Times New Roman"/>
          <w:sz w:val="15"/>
          <w:szCs w:val="15"/>
          <w:color w:val="auto"/>
        </w:rPr>
      </w:pPr>
    </w:p>
    <w:p>
      <w:pPr>
        <w:ind w:left="1580" w:right="1159" w:hanging="138"/>
        <w:spacing w:after="0" w:line="258" w:lineRule="auto"/>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represented by one or more global notes registered in the name of a designated depositary’s nominee, and if so, beneficial interests in the global note will be shown on and transfers will be made only through records maintained by the designated depositary and its participants.</w:t>
      </w:r>
    </w:p>
    <w:p>
      <w:pPr>
        <w:spacing w:after="0" w:line="95"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The aggregate principal amount of debt securities that we may authenticate and deliver is unlimited. The debt securities may be issued in one or more series as the issuer may authorize from time to time. You should refer to the applicable prospectus supplement for the following terms of the debt securities of the series with respect to which that prospectus supplement is being delivered:</w:t>
      </w:r>
    </w:p>
    <w:p>
      <w:pPr>
        <w:spacing w:after="0" w:line="93" w:lineRule="exact"/>
        <w:rPr>
          <w:sz w:val="20"/>
          <w:szCs w:val="20"/>
          <w:color w:val="auto"/>
        </w:rPr>
      </w:pPr>
    </w:p>
    <w:p>
      <w:pPr>
        <w:ind w:left="2040" w:hanging="303"/>
        <w:spacing w:after="0"/>
        <w:tabs>
          <w:tab w:leader="none" w:pos="20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issuer of such debt securities;</w:t>
      </w:r>
    </w:p>
    <w:p>
      <w:pPr>
        <w:spacing w:after="0" w:line="114" w:lineRule="exact"/>
        <w:rPr>
          <w:rFonts w:ascii="Times New Roman" w:cs="Times New Roman" w:eastAsia="Times New Roman" w:hAnsi="Times New Roman"/>
          <w:sz w:val="15"/>
          <w:szCs w:val="15"/>
          <w:color w:val="auto"/>
        </w:rPr>
      </w:pPr>
    </w:p>
    <w:p>
      <w:pPr>
        <w:ind w:left="1440" w:right="1759" w:firstLine="297"/>
        <w:spacing w:after="0" w:line="271" w:lineRule="auto"/>
        <w:tabs>
          <w:tab w:leader="none" w:pos="203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and title of the debt securities of the series (which shall distinguish the debt securities of that particular series from the debt securities of any other series);</w:t>
      </w:r>
    </w:p>
    <w:p>
      <w:pPr>
        <w:spacing w:after="0" w:line="74" w:lineRule="exact"/>
        <w:rPr>
          <w:rFonts w:ascii="Times New Roman" w:cs="Times New Roman" w:eastAsia="Times New Roman" w:hAnsi="Times New Roman"/>
          <w:sz w:val="15"/>
          <w:szCs w:val="15"/>
          <w:color w:val="auto"/>
        </w:rPr>
      </w:pPr>
    </w:p>
    <w:p>
      <w:pPr>
        <w:ind w:left="2040" w:hanging="303"/>
        <w:spacing w:after="0"/>
        <w:tabs>
          <w:tab w:leader="none" w:pos="20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of the debt securities of the series;</w:t>
      </w:r>
    </w:p>
    <w:p>
      <w:pPr>
        <w:spacing w:after="0" w:line="114" w:lineRule="exact"/>
        <w:rPr>
          <w:rFonts w:ascii="Times New Roman" w:cs="Times New Roman" w:eastAsia="Times New Roman" w:hAnsi="Times New Roman"/>
          <w:sz w:val="15"/>
          <w:szCs w:val="15"/>
          <w:color w:val="auto"/>
        </w:rPr>
      </w:pPr>
    </w:p>
    <w:p>
      <w:pPr>
        <w:jc w:val="both"/>
        <w:ind w:left="1440" w:right="1259" w:firstLine="297"/>
        <w:spacing w:after="0" w:line="251" w:lineRule="auto"/>
        <w:tabs>
          <w:tab w:leader="none" w:pos="203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w:t>
      </w:r>
    </w:p>
    <w:p>
      <w:pPr>
        <w:spacing w:after="0" w:line="88" w:lineRule="exact"/>
        <w:rPr>
          <w:rFonts w:ascii="Times New Roman" w:cs="Times New Roman" w:eastAsia="Times New Roman" w:hAnsi="Times New Roman"/>
          <w:sz w:val="15"/>
          <w:szCs w:val="15"/>
          <w:color w:val="auto"/>
        </w:rPr>
      </w:pPr>
    </w:p>
    <w:p>
      <w:pPr>
        <w:ind w:left="1440" w:right="1199" w:firstLine="297"/>
        <w:spacing w:after="0" w:line="256" w:lineRule="auto"/>
        <w:tabs>
          <w:tab w:leader="none" w:pos="203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and premium with respect to the debt securities of the series are payable;</w:t>
      </w:r>
    </w:p>
    <w:p>
      <w:pPr>
        <w:spacing w:after="0" w:line="84" w:lineRule="exact"/>
        <w:rPr>
          <w:rFonts w:ascii="Times New Roman" w:cs="Times New Roman" w:eastAsia="Times New Roman" w:hAnsi="Times New Roman"/>
          <w:sz w:val="15"/>
          <w:szCs w:val="15"/>
          <w:color w:val="auto"/>
        </w:rPr>
      </w:pPr>
    </w:p>
    <w:p>
      <w:pPr>
        <w:ind w:left="1440" w:right="1239" w:firstLine="297"/>
        <w:spacing w:after="0" w:line="251" w:lineRule="auto"/>
        <w:tabs>
          <w:tab w:leader="none" w:pos="203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at which the debt securities of the series shall bear interest, if any, or the method of determining such rate or rates, the date or dates from which such interest, if any, shall accrue, the interest payment dates on which such interest, if any, shall be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79"/>
        <w:spacing w:after="0" w:line="254" w:lineRule="auto"/>
        <w:rPr>
          <w:sz w:val="20"/>
          <w:szCs w:val="20"/>
          <w:color w:val="auto"/>
        </w:rPr>
      </w:pPr>
      <w:r>
        <w:rPr>
          <w:rFonts w:ascii="Times New Roman" w:cs="Times New Roman" w:eastAsia="Times New Roman" w:hAnsi="Times New Roman"/>
          <w:sz w:val="15"/>
          <w:szCs w:val="15"/>
          <w:color w:val="auto"/>
        </w:rPr>
        <w:t>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w:t>
      </w:r>
    </w:p>
    <w:p>
      <w:pPr>
        <w:spacing w:after="0" w:line="98" w:lineRule="exact"/>
        <w:rPr>
          <w:sz w:val="20"/>
          <w:szCs w:val="20"/>
          <w:color w:val="auto"/>
        </w:rPr>
      </w:pPr>
    </w:p>
    <w:p>
      <w:pPr>
        <w:ind w:left="1440" w:right="1199" w:firstLine="297"/>
        <w:spacing w:after="0" w:line="251" w:lineRule="auto"/>
        <w:tabs>
          <w:tab w:leader="none" w:pos="203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 which debt securities of the series shall be denominated, if other than U.S. dollars, the place or places, if any, in addition to or instead of the corporate trust office of the trustee (in the case of securities in registered form) or the principal New York office of the trustee (in the case of securities in bearer form), where the principal, premium and interest with respect to debt securities of the series shall be payable or the method of such payment, if by wire transfer, mail or other means;</w:t>
      </w:r>
    </w:p>
    <w:p>
      <w:pPr>
        <w:spacing w:after="0" w:line="279" w:lineRule="exact"/>
        <w:rPr>
          <w:rFonts w:ascii="Times New Roman" w:cs="Times New Roman" w:eastAsia="Times New Roman" w:hAnsi="Times New Roman"/>
          <w:sz w:val="15"/>
          <w:szCs w:val="15"/>
          <w:color w:val="auto"/>
        </w:rPr>
      </w:pPr>
    </w:p>
    <w:p>
      <w:pPr>
        <w:jc w:val="both"/>
        <w:ind w:left="1440" w:right="1239" w:firstLine="297"/>
        <w:spacing w:after="0" w:line="258" w:lineRule="auto"/>
        <w:tabs>
          <w:tab w:leader="none" w:pos="203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the period or periods within which, and the terms and conditions upon which debt securities of the series may be redeemed, in whole or in part, at the issuer’s option or otherwise;</w:t>
      </w:r>
    </w:p>
    <w:p>
      <w:pPr>
        <w:spacing w:after="0" w:line="84" w:lineRule="exact"/>
        <w:rPr>
          <w:rFonts w:ascii="Times New Roman" w:cs="Times New Roman" w:eastAsia="Times New Roman" w:hAnsi="Times New Roman"/>
          <w:sz w:val="15"/>
          <w:szCs w:val="15"/>
          <w:color w:val="auto"/>
        </w:rPr>
      </w:pPr>
    </w:p>
    <w:p>
      <w:pPr>
        <w:ind w:left="1440" w:right="1199" w:firstLine="297"/>
        <w:spacing w:after="0" w:line="252" w:lineRule="auto"/>
        <w:tabs>
          <w:tab w:leader="none" w:pos="203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debt securities of the series are to be issued as securities in registered form or as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w:t>
      </w:r>
    </w:p>
    <w:p>
      <w:pPr>
        <w:spacing w:after="0" w:line="99" w:lineRule="exact"/>
        <w:rPr>
          <w:rFonts w:ascii="Times New Roman" w:cs="Times New Roman" w:eastAsia="Times New Roman" w:hAnsi="Times New Roman"/>
          <w:sz w:val="15"/>
          <w:szCs w:val="15"/>
          <w:color w:val="auto"/>
        </w:rPr>
      </w:pPr>
    </w:p>
    <w:p>
      <w:pPr>
        <w:ind w:left="1440" w:right="1239" w:firstLine="297"/>
        <w:spacing w:after="0" w:line="248" w:lineRule="auto"/>
        <w:tabs>
          <w:tab w:leader="none" w:pos="211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debt securities of the series are to be issued as securities in bearer form or as one or more global securities representing individual securities in bearer form of the series, whether certain provisions for the payment of additional interest or tax redemptions shall apply; whether interest with respect to any portion of a temporary bearer security of the series payable with respect to any interest payment date prior to the exchange of such temporary bearer security for definitive securities in bearer form of the series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security in bearer form may be exchanged for one or more definitive securities in bearer form of the series;</w:t>
      </w:r>
    </w:p>
    <w:p>
      <w:pPr>
        <w:spacing w:after="0" w:line="103" w:lineRule="exact"/>
        <w:rPr>
          <w:rFonts w:ascii="Times New Roman" w:cs="Times New Roman" w:eastAsia="Times New Roman" w:hAnsi="Times New Roman"/>
          <w:sz w:val="15"/>
          <w:szCs w:val="15"/>
          <w:color w:val="auto"/>
        </w:rPr>
      </w:pPr>
    </w:p>
    <w:p>
      <w:pPr>
        <w:ind w:left="1440" w:right="1199" w:firstLine="297"/>
        <w:spacing w:after="0" w:line="252" w:lineRule="auto"/>
        <w:tabs>
          <w:tab w:leader="none" w:pos="210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issuer’s obligation,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shall be redeemed, purchased or repaid, in whole or in part, pursuant to such obligations;</w:t>
      </w:r>
    </w:p>
    <w:p>
      <w:pPr>
        <w:spacing w:after="0" w:line="87" w:lineRule="exact"/>
        <w:rPr>
          <w:rFonts w:ascii="Times New Roman" w:cs="Times New Roman" w:eastAsia="Times New Roman" w:hAnsi="Times New Roman"/>
          <w:sz w:val="15"/>
          <w:szCs w:val="15"/>
          <w:color w:val="auto"/>
        </w:rPr>
      </w:pPr>
    </w:p>
    <w:p>
      <w:pPr>
        <w:ind w:left="1440" w:right="1339" w:firstLine="297"/>
        <w:spacing w:after="0" w:line="250" w:lineRule="auto"/>
        <w:tabs>
          <w:tab w:leader="none" w:pos="211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upon which the debt securities of the series may be convertible into or exchanged for the issuer’s or UAL Common Stock, Preferred Stock, other debt securities or warrants for UAL Common Stock, Preferred Stock, indebtedness or other securities of any kind and the terms and conditions upon which such conversion or exchange shall be effected, including the initial conversion or exchange price or rate, the conversion or exchange period and any other additional provisions;</w:t>
      </w:r>
    </w:p>
    <w:p>
      <w:pPr>
        <w:spacing w:after="0" w:line="103" w:lineRule="exact"/>
        <w:rPr>
          <w:rFonts w:ascii="Times New Roman" w:cs="Times New Roman" w:eastAsia="Times New Roman" w:hAnsi="Times New Roman"/>
          <w:sz w:val="15"/>
          <w:szCs w:val="15"/>
          <w:color w:val="auto"/>
        </w:rPr>
      </w:pPr>
    </w:p>
    <w:p>
      <w:pPr>
        <w:ind w:left="1440" w:right="1239" w:firstLine="297"/>
        <w:spacing w:after="0" w:line="271" w:lineRule="auto"/>
        <w:tabs>
          <w:tab w:leader="none" w:pos="211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denominations of $1,000 or any integral multiple thereof, the denominations in which debt securities of the series shall be issuable;</w:t>
      </w:r>
    </w:p>
    <w:p>
      <w:pPr>
        <w:spacing w:after="0" w:line="85" w:lineRule="exact"/>
        <w:rPr>
          <w:rFonts w:ascii="Times New Roman" w:cs="Times New Roman" w:eastAsia="Times New Roman" w:hAnsi="Times New Roman"/>
          <w:sz w:val="15"/>
          <w:szCs w:val="15"/>
          <w:color w:val="auto"/>
        </w:rPr>
      </w:pPr>
    </w:p>
    <w:p>
      <w:pPr>
        <w:ind w:left="1440" w:right="1159" w:firstLine="297"/>
        <w:spacing w:after="0" w:line="258" w:lineRule="auto"/>
        <w:tabs>
          <w:tab w:leader="none" w:pos="211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amount of principal, premium or interest with respect to the debt securities of the series may be determined with reference to an index or pursuant to a formula, the manner in which such amounts will be determined;</w:t>
      </w:r>
    </w:p>
    <w:p>
      <w:pPr>
        <w:spacing w:after="0" w:line="84" w:lineRule="exact"/>
        <w:rPr>
          <w:rFonts w:ascii="Times New Roman" w:cs="Times New Roman" w:eastAsia="Times New Roman" w:hAnsi="Times New Roman"/>
          <w:sz w:val="15"/>
          <w:szCs w:val="15"/>
          <w:color w:val="auto"/>
        </w:rPr>
      </w:pPr>
    </w:p>
    <w:p>
      <w:pPr>
        <w:ind w:left="1440" w:right="1239" w:firstLine="297"/>
        <w:spacing w:after="0" w:line="253" w:lineRule="auto"/>
        <w:tabs>
          <w:tab w:leader="none" w:pos="211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639"/>
        <w:spacing w:after="0" w:line="251" w:lineRule="auto"/>
        <w:rPr>
          <w:sz w:val="20"/>
          <w:szCs w:val="20"/>
          <w:color w:val="auto"/>
        </w:rPr>
      </w:pPr>
      <w:r>
        <w:rPr>
          <w:rFonts w:ascii="Times New Roman" w:cs="Times New Roman" w:eastAsia="Times New Roman" w:hAnsi="Times New Roman"/>
          <w:sz w:val="15"/>
          <w:szCs w:val="15"/>
          <w:color w:val="auto"/>
        </w:rPr>
        <w:t>be deemed to be outstanding as of any such date (or, in any such case, the manner in which such deemed principal amount is to be determined), and if necessary, the manner of determining the equivalent thereof in U.S. dollars;</w:t>
      </w:r>
    </w:p>
    <w:p>
      <w:pPr>
        <w:spacing w:after="0" w:line="88" w:lineRule="exact"/>
        <w:rPr>
          <w:sz w:val="20"/>
          <w:szCs w:val="20"/>
          <w:color w:val="auto"/>
        </w:rPr>
      </w:pPr>
    </w:p>
    <w:p>
      <w:pPr>
        <w:ind w:left="2120" w:hanging="383"/>
        <w:spacing w:after="0"/>
        <w:tabs>
          <w:tab w:leader="none" w:pos="21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or additions to the provisions of the indenture dealing with defeasance;</w:t>
      </w:r>
    </w:p>
    <w:p>
      <w:pPr>
        <w:spacing w:after="0" w:line="125" w:lineRule="exact"/>
        <w:rPr>
          <w:rFonts w:ascii="Times New Roman" w:cs="Times New Roman" w:eastAsia="Times New Roman" w:hAnsi="Times New Roman"/>
          <w:sz w:val="15"/>
          <w:szCs w:val="15"/>
          <w:color w:val="auto"/>
        </w:rPr>
      </w:pPr>
    </w:p>
    <w:p>
      <w:pPr>
        <w:jc w:val="both"/>
        <w:ind w:left="1440" w:right="1259" w:firstLine="297"/>
        <w:spacing w:after="0" w:line="243"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entire principal amount thereof, the portion of the principal amount of debt securities of the series that shall be payable upon declaration of acceleration of the maturity thereof or provable in bankruptcy;</w:t>
      </w:r>
    </w:p>
    <w:p>
      <w:pPr>
        <w:spacing w:after="0" w:line="94" w:lineRule="exact"/>
        <w:rPr>
          <w:rFonts w:ascii="Times New Roman" w:cs="Times New Roman" w:eastAsia="Times New Roman" w:hAnsi="Times New Roman"/>
          <w:sz w:val="15"/>
          <w:szCs w:val="15"/>
          <w:color w:val="auto"/>
        </w:rPr>
      </w:pPr>
    </w:p>
    <w:p>
      <w:pPr>
        <w:ind w:left="1440" w:right="1199" w:firstLine="297"/>
        <w:spacing w:after="0" w:line="244"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of the transfer, mortgage, pledge or assignment as security for the debt securities of the series of any properties, assets, moneys, proceeds, securities or other collateral, including whether certain provisions of the Trust Indenture Act of 1939, as amended (the “Trust Indenture Act”), are applicable and any corresponding changes to provisions of the indenture as then in effect;</w:t>
      </w:r>
    </w:p>
    <w:p>
      <w:pPr>
        <w:spacing w:after="0" w:line="270" w:lineRule="exact"/>
        <w:rPr>
          <w:rFonts w:ascii="Times New Roman" w:cs="Times New Roman" w:eastAsia="Times New Roman" w:hAnsi="Times New Roman"/>
          <w:sz w:val="15"/>
          <w:szCs w:val="15"/>
          <w:color w:val="auto"/>
        </w:rPr>
      </w:pPr>
    </w:p>
    <w:p>
      <w:pPr>
        <w:ind w:left="1440" w:right="1379" w:firstLine="297"/>
        <w:spacing w:after="0" w:line="243"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events of default with respect to the debt securities of the series and any change in the right of the trustee or the holders of such series of debt securities to declare the principal, premium and interest, if any, on such series of debt securities due and payable;</w:t>
      </w:r>
    </w:p>
    <w:p>
      <w:pPr>
        <w:spacing w:after="0" w:line="94" w:lineRule="exact"/>
        <w:rPr>
          <w:rFonts w:ascii="Times New Roman" w:cs="Times New Roman" w:eastAsia="Times New Roman" w:hAnsi="Times New Roman"/>
          <w:sz w:val="15"/>
          <w:szCs w:val="15"/>
          <w:color w:val="auto"/>
        </w:rPr>
      </w:pPr>
    </w:p>
    <w:p>
      <w:pPr>
        <w:ind w:left="1440" w:right="1179" w:firstLine="297"/>
        <w:spacing w:after="0" w:line="241"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debt securities of the series shall be issued in whole or in part in the form of a global security, the terms and conditions, if any, upon which such global security may be exchanged in whole or in part for other individual debt securities of the series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spacing w:after="0" w:line="97" w:lineRule="exact"/>
        <w:rPr>
          <w:rFonts w:ascii="Times New Roman" w:cs="Times New Roman" w:eastAsia="Times New Roman" w:hAnsi="Times New Roman"/>
          <w:sz w:val="15"/>
          <w:szCs w:val="15"/>
          <w:color w:val="auto"/>
        </w:rPr>
      </w:pPr>
    </w:p>
    <w:p>
      <w:pPr>
        <w:ind w:left="1440" w:right="1319" w:firstLine="297"/>
        <w:spacing w:after="0" w:line="243"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trustee, authenticating agent, paying agent, transfer agent or registrar for the debt securities of the series and any office or agency of any of the foregoing for purposes of such series of debt securities;</w:t>
      </w:r>
    </w:p>
    <w:p>
      <w:pPr>
        <w:spacing w:after="0" w:line="94" w:lineRule="exact"/>
        <w:rPr>
          <w:rFonts w:ascii="Times New Roman" w:cs="Times New Roman" w:eastAsia="Times New Roman" w:hAnsi="Times New Roman"/>
          <w:sz w:val="15"/>
          <w:szCs w:val="15"/>
          <w:color w:val="auto"/>
        </w:rPr>
      </w:pPr>
    </w:p>
    <w:p>
      <w:pPr>
        <w:ind w:left="1440" w:right="1219" w:firstLine="297"/>
        <w:spacing w:after="0" w:line="251"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the covenants set forth in the indenture to the debt securities of the series, any change in such covenants or related defined terms to the extent applicable to the debt securities of the series and any additions to the covenants applicable to the debt securities of the series;</w:t>
      </w:r>
    </w:p>
    <w:p>
      <w:pPr>
        <w:spacing w:after="0" w:line="88" w:lineRule="exact"/>
        <w:rPr>
          <w:rFonts w:ascii="Times New Roman" w:cs="Times New Roman" w:eastAsia="Times New Roman" w:hAnsi="Times New Roman"/>
          <w:sz w:val="15"/>
          <w:szCs w:val="15"/>
          <w:color w:val="auto"/>
        </w:rPr>
      </w:pPr>
    </w:p>
    <w:p>
      <w:pPr>
        <w:ind w:left="1440" w:right="1339" w:firstLine="297"/>
        <w:spacing w:after="0" w:line="251"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and terms, if any, of any guarantee of the payment of principal, premium and interest with respect to debt securities of the series, the identity of any guarantor with respect to such guarantee and any corresponding changes to the provisions of the indenture and as then in effect;</w:t>
      </w:r>
    </w:p>
    <w:p>
      <w:pPr>
        <w:spacing w:after="0" w:line="88" w:lineRule="exact"/>
        <w:rPr>
          <w:rFonts w:ascii="Times New Roman" w:cs="Times New Roman" w:eastAsia="Times New Roman" w:hAnsi="Times New Roman"/>
          <w:sz w:val="15"/>
          <w:szCs w:val="15"/>
          <w:color w:val="auto"/>
        </w:rPr>
      </w:pPr>
    </w:p>
    <w:p>
      <w:pPr>
        <w:ind w:left="1440" w:right="1419" w:firstLine="297"/>
        <w:spacing w:after="0" w:line="256"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subordination, if any, of the debt securities of the series pursuant to the indenture and any changes or additions to the provisions of the indenture then in effect relating to subordination;</w:t>
      </w:r>
    </w:p>
    <w:p>
      <w:pPr>
        <w:spacing w:after="0" w:line="84" w:lineRule="exact"/>
        <w:rPr>
          <w:rFonts w:ascii="Times New Roman" w:cs="Times New Roman" w:eastAsia="Times New Roman" w:hAnsi="Times New Roman"/>
          <w:sz w:val="15"/>
          <w:szCs w:val="15"/>
          <w:color w:val="auto"/>
        </w:rPr>
      </w:pPr>
    </w:p>
    <w:p>
      <w:pPr>
        <w:ind w:left="1440" w:right="1519" w:firstLine="297"/>
        <w:spacing w:after="0" w:line="271"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regard to debt securities of the series that do not bear interest, the dates for certain required reports to the trustee; and</w:t>
      </w:r>
    </w:p>
    <w:p>
      <w:pPr>
        <w:spacing w:after="0" w:line="85" w:lineRule="exact"/>
        <w:rPr>
          <w:rFonts w:ascii="Times New Roman" w:cs="Times New Roman" w:eastAsia="Times New Roman" w:hAnsi="Times New Roman"/>
          <w:sz w:val="15"/>
          <w:szCs w:val="15"/>
          <w:color w:val="auto"/>
        </w:rPr>
      </w:pPr>
    </w:p>
    <w:p>
      <w:pPr>
        <w:ind w:left="1440" w:right="1359" w:firstLine="297"/>
        <w:spacing w:after="0" w:line="271" w:lineRule="auto"/>
        <w:tabs>
          <w:tab w:leader="none" w:pos="21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of the series (which terms shall not be prohibited by the provisions of the indenture).</w:t>
      </w:r>
    </w:p>
    <w:p>
      <w:pPr>
        <w:spacing w:after="0" w:line="74"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securities in registered form may be transferred or exchanged at the office of the trustee at which its corporate trust business is principally administered in the United States or at the office of the trustee or the trustee’s agent in the Borough of Manhattan, the City and State of New York, at which its corporate agency business is conducted,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w:t>
      </w:r>
    </w:p>
    <w:p>
      <w:pPr>
        <w:spacing w:after="0" w:line="103" w:lineRule="exact"/>
        <w:rPr>
          <w:sz w:val="20"/>
          <w:szCs w:val="20"/>
          <w:color w:val="auto"/>
        </w:rPr>
      </w:pPr>
    </w:p>
    <w:p>
      <w:pPr>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Neither the issuer nor the registrar for the debt securities will be required (a) to issue, register the transfer of or exchange the debt securities of any series for the period beginning at the opening of business 15 days immediately preceding the mailing of a notice of redemption of the debt securities of that series selected for redemption and ending at the close of business on the day of such mailing or (b) to register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1" w:lineRule="auto"/>
        <w:rPr>
          <w:sz w:val="20"/>
          <w:szCs w:val="20"/>
          <w:color w:val="auto"/>
        </w:rPr>
      </w:pPr>
      <w:r>
        <w:rPr>
          <w:rFonts w:ascii="Times New Roman" w:cs="Times New Roman" w:eastAsia="Times New Roman" w:hAnsi="Times New Roman"/>
          <w:sz w:val="15"/>
          <w:szCs w:val="15"/>
          <w:color w:val="auto"/>
        </w:rPr>
        <w:t>the transfer of or exchange the debt securities of any series selected, called or being called for redemption as a whole or the portion being redeemed of any such debt securities selected, called or being called for redemption in part.</w:t>
      </w:r>
    </w:p>
    <w:p>
      <w:pPr>
        <w:spacing w:after="0" w:line="88"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All funds which the issuer pays to a paying agent or the trustee for the payment of principal of, premium, if any, or interest on any debt securities that remain unclaimed at the end of two years after such principal, premium, if any, or interest has become due and payable will be repaid to the issuer on its request, and the holders of such debt securities will thereafter look only to the issuer for payment thereof.</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Global Securities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debt securities of a series may be issued in whole or in part in the form of one or more global</w:t>
      </w:r>
    </w:p>
    <w:p>
      <w:pPr>
        <w:spacing w:after="0" w:line="9" w:lineRule="exact"/>
        <w:rPr>
          <w:sz w:val="20"/>
          <w:szCs w:val="20"/>
          <w:color w:val="auto"/>
        </w:rPr>
      </w:pPr>
    </w:p>
    <w:p>
      <w:pPr>
        <w:ind w:left="1140" w:right="1179"/>
        <w:spacing w:after="0" w:line="237" w:lineRule="auto"/>
        <w:rPr>
          <w:sz w:val="20"/>
          <w:szCs w:val="20"/>
          <w:color w:val="auto"/>
        </w:rPr>
      </w:pPr>
      <w:r>
        <w:rPr>
          <w:rFonts w:ascii="Times New Roman" w:cs="Times New Roman" w:eastAsia="Times New Roman" w:hAnsi="Times New Roman"/>
          <w:sz w:val="15"/>
          <w:szCs w:val="15"/>
          <w:color w:val="auto"/>
        </w:rPr>
        <w:t>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bear the legend as prescribed in the indenture.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 depositary.</w:t>
      </w:r>
    </w:p>
    <w:p>
      <w:pPr>
        <w:spacing w:after="0" w:line="97" w:lineRule="exact"/>
        <w:rPr>
          <w:sz w:val="20"/>
          <w:szCs w:val="20"/>
          <w:color w:val="auto"/>
        </w:rPr>
      </w:pPr>
    </w:p>
    <w:p>
      <w:pPr>
        <w:jc w:val="both"/>
        <w:ind w:left="1140" w:right="1459" w:firstLine="294"/>
        <w:spacing w:after="0" w:line="243" w:lineRule="auto"/>
        <w:rPr>
          <w:sz w:val="20"/>
          <w:szCs w:val="20"/>
          <w:color w:val="auto"/>
        </w:rPr>
      </w:pPr>
      <w:r>
        <w:rPr>
          <w:rFonts w:ascii="Times New Roman" w:cs="Times New Roman" w:eastAsia="Times New Roman" w:hAnsi="Times New Roman"/>
          <w:sz w:val="15"/>
          <w:szCs w:val="15"/>
          <w:color w:val="auto"/>
        </w:rPr>
        <w:t>The specific terms of the depositary arrangement with respect to a series of debt securities will be described in the prospectus supplement relating to such debt securities. We anticipate that the following provisions will generally apply to depositary arrangements.</w:t>
      </w:r>
    </w:p>
    <w:p>
      <w:pPr>
        <w:spacing w:after="0" w:line="94"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 Such accounts shall be designated by the dealers or underwriters with respect to such debt securities or, if such debt securities are offered and sold directly by the issuer or through one or more agents, by the issuer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100" w:lineRule="exact"/>
        <w:rPr>
          <w:sz w:val="20"/>
          <w:szCs w:val="20"/>
          <w:color w:val="auto"/>
        </w:rPr>
      </w:pPr>
    </w:p>
    <w:p>
      <w:pPr>
        <w:jc w:val="both"/>
        <w:ind w:left="1140" w:right="1219" w:firstLine="294"/>
        <w:spacing w:after="0" w:line="242" w:lineRule="auto"/>
        <w:rPr>
          <w:sz w:val="20"/>
          <w:szCs w:val="20"/>
          <w:color w:val="auto"/>
        </w:rPr>
      </w:pPr>
      <w:r>
        <w:rPr>
          <w:rFonts w:ascii="Times New Roman" w:cs="Times New Roman" w:eastAsia="Times New Roman" w:hAnsi="Times New Roman"/>
          <w:sz w:val="15"/>
          <w:szCs w:val="15"/>
          <w:color w:val="auto"/>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w:t>
      </w:r>
    </w:p>
    <w:p>
      <w:pPr>
        <w:spacing w:after="0" w:line="1" w:lineRule="exact"/>
        <w:rPr>
          <w:sz w:val="20"/>
          <w:szCs w:val="20"/>
          <w:color w:val="auto"/>
        </w:rPr>
      </w:pPr>
    </w:p>
    <w:p>
      <w:pPr>
        <w:ind w:left="1140" w:right="1219"/>
        <w:spacing w:after="0" w:line="238" w:lineRule="auto"/>
        <w:rPr>
          <w:sz w:val="20"/>
          <w:szCs w:val="20"/>
          <w:color w:val="auto"/>
        </w:rPr>
      </w:pPr>
      <w:r>
        <w:rPr>
          <w:rFonts w:ascii="Times New Roman" w:cs="Times New Roman" w:eastAsia="Times New Roman" w:hAnsi="Times New Roman"/>
          <w:sz w:val="15"/>
          <w:szCs w:val="15"/>
          <w:color w:val="auto"/>
        </w:rPr>
        <w:t>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spacing w:after="0" w:line="96" w:lineRule="exact"/>
        <w:rPr>
          <w:sz w:val="20"/>
          <w:szCs w:val="20"/>
          <w:color w:val="auto"/>
        </w:rPr>
      </w:pPr>
    </w:p>
    <w:p>
      <w:pPr>
        <w:ind w:left="1140" w:right="1279" w:firstLine="294"/>
        <w:spacing w:after="0" w:line="238" w:lineRule="auto"/>
        <w:rPr>
          <w:sz w:val="20"/>
          <w:szCs w:val="20"/>
          <w:color w:val="auto"/>
        </w:rPr>
      </w:pPr>
      <w:r>
        <w:rPr>
          <w:rFonts w:ascii="Times New Roman" w:cs="Times New Roman" w:eastAsia="Times New Roman" w:hAnsi="Times New Roman"/>
          <w:sz w:val="15"/>
          <w:szCs w:val="15"/>
          <w:color w:val="auto"/>
        </w:rPr>
        <w:t>Subject to the restrictions applicable to securities in bearer form described in an applicable prospectus supplement (see “— Limitations on Issuance of Securities in Bearer Form” below), payments of principal, premium, and interest with respect to individual debt securities represented by a global security will be made to the depositary or its nominee, as the case may be, as the registered owner or holder of such global security. Neither the issuer, the trustee, any paying agent or registrar for such debt securities nor any agent of the issuer or the trustee will have any responsibility or liability for:</w:t>
      </w:r>
    </w:p>
    <w:p>
      <w:pPr>
        <w:spacing w:after="0" w:line="100" w:lineRule="exact"/>
        <w:rPr>
          <w:sz w:val="20"/>
          <w:szCs w:val="20"/>
          <w:color w:val="auto"/>
        </w:rPr>
      </w:pPr>
    </w:p>
    <w:p>
      <w:pPr>
        <w:ind w:left="1440" w:right="1299" w:firstLine="297"/>
        <w:spacing w:after="0" w:line="251" w:lineRule="auto"/>
        <w:tabs>
          <w:tab w:leader="none" w:pos="203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aspect of the records relating to or payments made by the depositary, its nominee or any participants on account of beneficial interests in a global security or for maintaining, supervising or reviewing any records relating to such beneficial interests;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19" w:firstLine="297"/>
        <w:spacing w:after="0" w:line="271" w:lineRule="auto"/>
        <w:tabs>
          <w:tab w:leader="none" w:pos="2034"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to the owners of beneficial interests in the global security of amounts paid to the depositary or its nominee; or</w:t>
      </w:r>
    </w:p>
    <w:p>
      <w:pPr>
        <w:spacing w:after="0" w:line="74" w:lineRule="exact"/>
        <w:rPr>
          <w:rFonts w:ascii="Times New Roman" w:cs="Times New Roman" w:eastAsia="Times New Roman" w:hAnsi="Times New Roman"/>
          <w:sz w:val="15"/>
          <w:szCs w:val="15"/>
          <w:color w:val="auto"/>
        </w:rPr>
      </w:pPr>
    </w:p>
    <w:p>
      <w:pPr>
        <w:ind w:left="1440" w:right="1519" w:firstLine="297"/>
        <w:spacing w:after="0" w:line="256" w:lineRule="auto"/>
        <w:tabs>
          <w:tab w:leader="none" w:pos="2034"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matter relating to the actions and practices of the depositary, its nominee or its participants.</w:t>
      </w:r>
    </w:p>
    <w:p>
      <w:pPr>
        <w:spacing w:after="0" w:line="85"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None of the issuer, the trustee, any paying agent or registrar for such debt securities or any agent of the issuer or the trustee will be liable for any delay by the depositary, its nominee or any of its participants in identifying the owners of beneficial interests in the global security, and the issuer and the trustee may conclusively rely on, and will be protected in relying on, instructions from the depositary or its nominee for all purposes.</w:t>
      </w:r>
    </w:p>
    <w:p>
      <w:pPr>
        <w:spacing w:after="0" w:line="9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We expect that the depositary for a series of debt securities or its nominee, upon receipt of any payment of principal, premium or interest with respect to a definitive global security representing any of such debt securities, will immediately credit applicable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(see “— Limitation on Issuance of Securities in Bearer Form” below).</w:t>
      </w:r>
    </w:p>
    <w:p>
      <w:pPr>
        <w:spacing w:after="0" w:line="9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If the depositary for a series of debt securities is at any time unwilling, unable or ineligible to continue as depositary, the issuer shall appoint a successor depositary. If a successor depositary is not appointed by the issuer within 90 days, the issuer will issue individual debt securities of such series in exchange for the global security representing such series of debt securities. In addition, the issuer may at any time and in its sole discretion, subject to any limitations described in the prospectus supplement relating to such debt securities, determine to no longer have debt securities of a series represented by a global security and, in such event, will issue individual debt securities of such series in exchange for the global security representing such series of debt securities. Furthermore, if an event of default with respect to the debt securities of a series represented by a global security shall have happened and be continuing and owners of beneficial interests in such global security in an amount not less than a majority of the aggregate outstanding principal amount of such global security have delivered to the issuer and the trustee a notice indicating that the continuation of the book-entry system through such depositary is no longer in the best interests of the holders of the beneficial interests, such global security will be exchangeable for individual debt securities of such series.</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Limitations on Issuance of Securities in Bearer Form</w:t>
      </w:r>
    </w:p>
    <w:p>
      <w:pPr>
        <w:spacing w:after="0" w:line="128"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117" w:lineRule="exact"/>
        <w:rPr>
          <w:sz w:val="20"/>
          <w:szCs w:val="20"/>
          <w:color w:val="auto"/>
        </w:rPr>
      </w:pPr>
    </w:p>
    <w:p>
      <w:pPr>
        <w:ind w:left="1140" w:right="1319" w:firstLine="294"/>
        <w:spacing w:after="0" w:line="252" w:lineRule="auto"/>
        <w:rPr>
          <w:sz w:val="20"/>
          <w:szCs w:val="20"/>
          <w:color w:val="auto"/>
        </w:rPr>
      </w:pPr>
      <w:r>
        <w:rPr>
          <w:rFonts w:ascii="Times New Roman" w:cs="Times New Roman" w:eastAsia="Times New Roman" w:hAnsi="Times New Roman"/>
          <w:sz w:val="15"/>
          <w:szCs w:val="15"/>
          <w:color w:val="auto"/>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Subordination</w:t>
      </w:r>
    </w:p>
    <w:p>
      <w:pPr>
        <w:spacing w:after="0" w:line="128" w:lineRule="exact"/>
        <w:rPr>
          <w:sz w:val="20"/>
          <w:szCs w:val="20"/>
          <w:color w:val="auto"/>
        </w:rPr>
      </w:pPr>
    </w:p>
    <w:p>
      <w:pPr>
        <w:ind w:left="1140" w:right="1259" w:firstLine="294"/>
        <w:spacing w:after="0" w:line="264" w:lineRule="auto"/>
        <w:rPr>
          <w:sz w:val="20"/>
          <w:szCs w:val="20"/>
          <w:color w:val="auto"/>
        </w:rPr>
      </w:pPr>
      <w:r>
        <w:rPr>
          <w:rFonts w:ascii="Times New Roman" w:cs="Times New Roman" w:eastAsia="Times New Roman" w:hAnsi="Times New Roman"/>
          <w:sz w:val="15"/>
          <w:szCs w:val="15"/>
          <w:color w:val="auto"/>
        </w:rPr>
        <w:t>Debt securities of a series, and any guarantees of such securities, may be subordinated, which we refer to as subordinated debt securities, to senior indebtedness (as defined in the applicable prospectus supplement)</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99"/>
        <w:spacing w:after="0" w:line="244" w:lineRule="auto"/>
        <w:rPr>
          <w:sz w:val="20"/>
          <w:szCs w:val="20"/>
          <w:color w:val="auto"/>
        </w:rPr>
      </w:pPr>
      <w:r>
        <w:rPr>
          <w:rFonts w:ascii="Times New Roman" w:cs="Times New Roman" w:eastAsia="Times New Roman" w:hAnsi="Times New Roman"/>
          <w:sz w:val="15"/>
          <w:szCs w:val="15"/>
          <w:color w:val="auto"/>
        </w:rPr>
        <w:t>to the extent set forth in the prospectus supplement relating thereto. To the extent the issuer of any debt securities conducts operations through subsidiaries of such issuer, the holders of such debt securities (whether or not subordinated debt securities) will be structurally subordinated to the creditors of such subsidiaries except to the extent such subsidiary is a guarantor of such series of debt securities.</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17" w:lineRule="exact"/>
        <w:rPr>
          <w:sz w:val="20"/>
          <w:szCs w:val="20"/>
          <w:color w:val="auto"/>
        </w:rPr>
      </w:pPr>
    </w:p>
    <w:p>
      <w:pPr>
        <w:ind w:left="1140" w:right="1339" w:firstLine="294"/>
        <w:spacing w:after="0" w:line="271" w:lineRule="auto"/>
        <w:rPr>
          <w:sz w:val="20"/>
          <w:szCs w:val="20"/>
          <w:color w:val="auto"/>
        </w:rPr>
      </w:pPr>
      <w:r>
        <w:rPr>
          <w:rFonts w:ascii="Times New Roman" w:cs="Times New Roman" w:eastAsia="Times New Roman" w:hAnsi="Times New Roman"/>
          <w:sz w:val="15"/>
          <w:szCs w:val="15"/>
          <w:color w:val="auto"/>
        </w:rPr>
        <w:t>Each of the following constitutes an event of default under the indenture with respect to any series of debt securities:</w:t>
      </w:r>
    </w:p>
    <w:p>
      <w:pPr>
        <w:spacing w:after="0" w:line="74" w:lineRule="exact"/>
        <w:rPr>
          <w:sz w:val="20"/>
          <w:szCs w:val="20"/>
          <w:color w:val="auto"/>
        </w:rPr>
      </w:pPr>
    </w:p>
    <w:p>
      <w:pPr>
        <w:jc w:val="both"/>
        <w:ind w:left="1440" w:right="1559" w:firstLine="297"/>
        <w:spacing w:after="0" w:line="243" w:lineRule="auto"/>
        <w:tabs>
          <w:tab w:leader="none" w:pos="203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any payment of the principal or premium, if any, on the debt securities of that series, when such amount becomes due and payable at maturity, upon acceleration, redemption or otherwise;</w:t>
      </w:r>
    </w:p>
    <w:p>
      <w:pPr>
        <w:spacing w:after="0" w:line="94" w:lineRule="exact"/>
        <w:rPr>
          <w:rFonts w:ascii="Times New Roman" w:cs="Times New Roman" w:eastAsia="Times New Roman" w:hAnsi="Times New Roman"/>
          <w:sz w:val="15"/>
          <w:szCs w:val="15"/>
          <w:color w:val="auto"/>
        </w:rPr>
      </w:pPr>
    </w:p>
    <w:p>
      <w:pPr>
        <w:ind w:left="1440" w:right="1259" w:firstLine="297"/>
        <w:spacing w:after="0" w:line="271" w:lineRule="auto"/>
        <w:tabs>
          <w:tab w:leader="none" w:pos="203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interest on any debt security of that series when such interest becomes due and payable, and such failure continues for a period of 30 days;</w:t>
      </w:r>
    </w:p>
    <w:p>
      <w:pPr>
        <w:spacing w:after="0" w:line="74" w:lineRule="exact"/>
        <w:rPr>
          <w:rFonts w:ascii="Times New Roman" w:cs="Times New Roman" w:eastAsia="Times New Roman" w:hAnsi="Times New Roman"/>
          <w:sz w:val="15"/>
          <w:szCs w:val="15"/>
          <w:color w:val="auto"/>
        </w:rPr>
      </w:pPr>
    </w:p>
    <w:p>
      <w:pPr>
        <w:jc w:val="both"/>
        <w:ind w:left="1440" w:right="1239" w:firstLine="297"/>
        <w:spacing w:after="0" w:line="243" w:lineRule="auto"/>
        <w:tabs>
          <w:tab w:leader="none" w:pos="203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for 60 days after notice with any of the covenants or agreements applicable to the debt securities of that series (other than those referred to in (1) or (2) above) or the indenture or supplemental indenture related to that series of debt securities; or</w:t>
      </w:r>
    </w:p>
    <w:p>
      <w:pPr>
        <w:spacing w:after="0" w:line="94" w:lineRule="exact"/>
        <w:rPr>
          <w:rFonts w:ascii="Times New Roman" w:cs="Times New Roman" w:eastAsia="Times New Roman" w:hAnsi="Times New Roman"/>
          <w:sz w:val="15"/>
          <w:szCs w:val="15"/>
          <w:color w:val="auto"/>
        </w:rPr>
      </w:pPr>
    </w:p>
    <w:p>
      <w:pPr>
        <w:ind w:left="2040" w:hanging="303"/>
        <w:spacing w:after="0"/>
        <w:tabs>
          <w:tab w:leader="none" w:pos="20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or reorganization affecting the issuer.</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 prospectus supplement may omit, modify or add to the foregoing events of default.</w:t>
      </w:r>
    </w:p>
    <w:p>
      <w:pPr>
        <w:spacing w:after="0" w:line="126" w:lineRule="exact"/>
        <w:rPr>
          <w:sz w:val="20"/>
          <w:szCs w:val="20"/>
          <w:color w:val="auto"/>
        </w:rPr>
      </w:pPr>
    </w:p>
    <w:p>
      <w:pPr>
        <w:ind w:left="1140" w:right="1399" w:firstLine="294"/>
        <w:spacing w:after="0"/>
        <w:rPr>
          <w:sz w:val="20"/>
          <w:szCs w:val="20"/>
          <w:color w:val="auto"/>
        </w:rPr>
      </w:pPr>
      <w:r>
        <w:rPr>
          <w:rFonts w:ascii="Times New Roman" w:cs="Times New Roman" w:eastAsia="Times New Roman" w:hAnsi="Times New Roman"/>
          <w:sz w:val="15"/>
          <w:szCs w:val="15"/>
          <w:color w:val="auto"/>
        </w:rPr>
        <w:t>A default under clause (3) above will not constitute an event of default with respect to any series of debt securities until the trustee notifies the issuer or the holders of at least 25% in aggregate principal amount of the outstanding debt securities of that series notify the issuer and the trustee of the default and such issuer does not cure such default within the time specified in clause (3) above after receipt of such notice.</w:t>
      </w:r>
    </w:p>
    <w:p>
      <w:pPr>
        <w:spacing w:after="0" w:line="9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If any event of default (other than an event of default relating to certain events of bankruptcy, insolvency or reorganization with respect to the issuer) occurs and is continuing with respect to a particular series of debt securities, either the trustee or the holders of at least 25% in aggregate principal amount of the outstanding debt securities of that series by notice to the issuer (and to the trustee if such notice is given by the holders) may declare the principal amount of (or in the case of original issue discount debt securities, the portion thereby specified in the terms thereof) and accrued and unpaid interest on all the debt securities of that series to be immediately due and payable. In the case of certain events of bankruptcy, insolvency or reorganization with respect to the issuer, the principal amount of (or, in the case of original issue discount debt securities, the portion thereby specified in the terms thereof) and accrued interest on all the debt securities of that series shall automatically become and be immediately due and payable without any declaration or other act on the part of the trustee or any holders.</w:t>
      </w:r>
    </w:p>
    <w:p>
      <w:pPr>
        <w:spacing w:after="0" w:line="102"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The holders of a majority in aggregate principal amount of the debt securities of any series then outstanding may by notice to the trustee under the indenture waive any existing default or event of default and its consequences under the indenture with respect to such series of debt securities except (i) a default in the payment of the principal of (or, in the case of original issue discount debt securities of that series, the portion thereby specified in the terms thereof), premium, if any, and accrued and unpaid interest on the debt securities of such series, (ii) a default arising from the failure to redeem or purchase any debt security of that series when required pursuant to the terms of the indenture or (iii) a default in respect of a provision that cannot be amended under the indenture without the consent of each holder of the series affected.</w:t>
      </w:r>
    </w:p>
    <w:p>
      <w:pPr>
        <w:spacing w:after="0" w:line="103"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Subject to the provisions of the indenture relating to the duties of the trustee, in case an event of default shall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it against any loss, liability or expense. Subject to such provisions for the indemnification of the trustee, the holders of at least a majority in aggregate principal amount of the outstanding debt securities of any series have the right to direct the time, method and place of conducting any proceeding for any remedy available to the trustee or exercising any trust or power conferred on the trustee with respect to such series of debt securities. The</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4" w:lineRule="auto"/>
        <w:rPr>
          <w:sz w:val="20"/>
          <w:szCs w:val="20"/>
          <w:color w:val="auto"/>
        </w:rPr>
      </w:pPr>
      <w:r>
        <w:rPr>
          <w:rFonts w:ascii="Times New Roman" w:cs="Times New Roman" w:eastAsia="Times New Roman" w:hAnsi="Times New Roman"/>
          <w:sz w:val="15"/>
          <w:szCs w:val="15"/>
          <w:color w:val="auto"/>
        </w:rPr>
        <w:t>trustee, however, may refuse to follow any direction that conflicts with law or the indenture, that the trustee determines is unduly prejudicial to the rights of any other holder of such series of debt securities or that would subject the trustee to personal liability. Prior to taking any action under the indenture, the trustee is entitled to indemnification satisfactory to it in its sole discretion against all losses and expenses caused by taking or not taking such action.</w:t>
      </w:r>
    </w:p>
    <w:p>
      <w:pPr>
        <w:spacing w:after="0" w:line="95"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Except to enforce the right to receive payment of principal (or, in the case of original issue discount debt securities, the portion thereby specified in the terms thereof), premium, if any, and accrued and unpaid interest on the debt securities of any series when due, no holder of debt securities of that series has any right to pursue any remedy with respect to the indenture or debt securities unless:</w:t>
      </w:r>
    </w:p>
    <w:p>
      <w:pPr>
        <w:spacing w:after="0" w:line="60" w:lineRule="exact"/>
        <w:rPr>
          <w:sz w:val="20"/>
          <w:szCs w:val="20"/>
          <w:color w:val="auto"/>
        </w:rPr>
      </w:pPr>
    </w:p>
    <w:p>
      <w:pPr>
        <w:ind w:left="1580" w:right="1359" w:hanging="138"/>
        <w:spacing w:after="0" w:line="271"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to the trustee written notice of a continuing event of default with respect to such series of debt securities;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the outstanding debt securities of that series have made a written request to the trustee to pursue such remedy;</w:t>
      </w:r>
    </w:p>
    <w:p>
      <w:pPr>
        <w:spacing w:after="0" w:line="52" w:lineRule="exact"/>
        <w:rPr>
          <w:rFonts w:ascii="Times New Roman" w:cs="Times New Roman" w:eastAsia="Times New Roman" w:hAnsi="Times New Roman"/>
          <w:sz w:val="15"/>
          <w:szCs w:val="15"/>
          <w:color w:val="auto"/>
        </w:rPr>
      </w:pPr>
    </w:p>
    <w:p>
      <w:pPr>
        <w:ind w:left="1580" w:right="1439" w:hanging="138"/>
        <w:spacing w:after="0" w:line="271"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security or indemnity satisfactory to the trustee against any loss, liability or expense;</w:t>
      </w:r>
    </w:p>
    <w:p>
      <w:pPr>
        <w:spacing w:after="0" w:line="40"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has not complied with the request within 60 days after receipt of the request and the offer of security or indemnity; and</w:t>
      </w:r>
    </w:p>
    <w:p>
      <w:pPr>
        <w:spacing w:after="0" w:line="52" w:lineRule="exact"/>
        <w:rPr>
          <w:rFonts w:ascii="Times New Roman" w:cs="Times New Roman" w:eastAsia="Times New Roman" w:hAnsi="Times New Roman"/>
          <w:sz w:val="15"/>
          <w:szCs w:val="15"/>
          <w:color w:val="auto"/>
        </w:rPr>
      </w:pPr>
    </w:p>
    <w:p>
      <w:pPr>
        <w:jc w:val="both"/>
        <w:ind w:left="1580" w:right="1459" w:hanging="138"/>
        <w:spacing w:after="0" w:line="271"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 majority in aggregate principal amount of the outstanding debt securities of that series do not give the trustee a direction inconsistent with the request during such 60-day period.</w:t>
      </w:r>
    </w:p>
    <w:p>
      <w:pPr>
        <w:spacing w:after="0" w:line="85"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However, such limitations do not apply to a suit instituted by a holder of a debt security of such series for the enforcement of payment of the principal (or, in the case of original issue discount debt securities, the portion thereby specified in the term thereof), premium, if any, or accrued and unpaid interest on such debt security on or after the applicable due date specified in such debt security.</w:t>
      </w:r>
    </w:p>
    <w:p>
      <w:pPr>
        <w:spacing w:after="0" w:line="93"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indenture provides that if a default with respect to debt securities of any series occurs and is continuing and if it is actually known to a trust officer of the trustee, the trustee must mail to each holder of that series notice of the default within 90 days after it occurs. Except in the case of a default in the payment of principal of (or, in the case of original issue discount debt securities of that series, the portion thereby specified in the terms thereof), premium, if any, and accrued and unpaid interest on any debt security of that series when such amount becomes due and payable, the trustee may withhold notice if and so long as a committee of its trust officers in good faith determines that withholding notice is in the interests of the holders.</w:t>
      </w:r>
    </w:p>
    <w:p>
      <w:pPr>
        <w:spacing w:after="0" w:line="261"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The indenture requires the issuer with respect to an outstanding series of debt securities to furnish to the trustee, within 120 days after the end of each fiscal year, an officer’s certificate as defined in the indenture, as to whether or not such officers know of any default with respect to such series of debt securities that occurred during such period and, if so, describing the default, its status and what action the issuer is taking or proposes to take with respect thereto.</w:t>
      </w:r>
    </w:p>
    <w:p>
      <w:pPr>
        <w:spacing w:after="0" w:line="99"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Street name and other indirect holders should consult their banks and brokers for information on their requirements for giving notice or taking other actions upon a default.</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117"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Modifications and amendments of the indenture as it applies to any series of debt securities or any of the other terms of such series may be made by the applicable issuer, any applicable guarantor and the trustee with the consent of the holders of at least a majority in aggregate principal amount of the outstanding debt securities of such series.</w:t>
      </w:r>
    </w:p>
    <w:p>
      <w:pPr>
        <w:spacing w:after="0" w:line="98"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No such modification or amendment may, without the consent of each holder of an affected debt security:</w:t>
      </w:r>
    </w:p>
    <w:p>
      <w:pPr>
        <w:spacing w:after="0" w:line="52" w:lineRule="exact"/>
        <w:rPr>
          <w:sz w:val="20"/>
          <w:szCs w:val="20"/>
          <w:color w:val="auto"/>
        </w:rPr>
      </w:pPr>
    </w:p>
    <w:p>
      <w:pPr>
        <w:ind w:left="1580" w:right="1539" w:hanging="138"/>
        <w:spacing w:after="0" w:line="271" w:lineRule="auto"/>
        <w:tabs>
          <w:tab w:leader="none" w:pos="15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the percentage of principal amount of the outstanding debt securities of the applicable series the holders of which must consent to an amendment;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55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premium, if any, or interest on, or extend the stated maturity or interest payment periods of, such debt security;</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such debt security payable in money or securities other than that stated in such debt security;</w:t>
      </w:r>
    </w:p>
    <w:p>
      <w:pPr>
        <w:spacing w:after="0" w:line="92" w:lineRule="exact"/>
        <w:rPr>
          <w:rFonts w:ascii="Times New Roman" w:cs="Times New Roman" w:eastAsia="Times New Roman" w:hAnsi="Times New Roman"/>
          <w:sz w:val="15"/>
          <w:szCs w:val="15"/>
          <w:color w:val="auto"/>
        </w:rPr>
      </w:pPr>
    </w:p>
    <w:p>
      <w:pPr>
        <w:ind w:left="1580" w:right="171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such holder’s right to require the applicable issuer to purchase such debt security in accordance with the terms thereof and under the indenture;</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such holder to institute suit for the enforcement of any payment with respect to such debt securities;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58"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subordinated debt security or coupons appertaining thereto, make any change in the provisions of the indenture relating to subordination that adversely affects the rights of such holder under such provisions;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under “— Satisfaction and Discharge of the Indenture; Defeasance” below or in accordance with a guarantee, release any guarantor of such debt securities from any of its obligations under the guarantee or make any changes in the applicable guarantee that would adversely affect such holder; or</w:t>
      </w:r>
    </w:p>
    <w:p>
      <w:pPr>
        <w:spacing w:after="0" w:line="53"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requirements relating to waiving a default in payment of principal of, or premium, if any, or interest on, the debt securities of a series, the right to bring suit to enforce such payments or the provisions relating to modifications or amendments described in this sentence.</w:t>
      </w:r>
    </w:p>
    <w:p>
      <w:pPr>
        <w:spacing w:after="0" w:line="95" w:lineRule="exact"/>
        <w:rPr>
          <w:sz w:val="20"/>
          <w:szCs w:val="20"/>
          <w:color w:val="auto"/>
        </w:rPr>
      </w:pPr>
    </w:p>
    <w:p>
      <w:pPr>
        <w:ind w:left="1140" w:right="1279" w:firstLine="294"/>
        <w:spacing w:after="0" w:line="251" w:lineRule="auto"/>
        <w:rPr>
          <w:sz w:val="20"/>
          <w:szCs w:val="20"/>
          <w:color w:val="auto"/>
        </w:rPr>
      </w:pPr>
      <w:r>
        <w:rPr>
          <w:rFonts w:ascii="Times New Roman" w:cs="Times New Roman" w:eastAsia="Times New Roman" w:hAnsi="Times New Roman"/>
          <w:sz w:val="15"/>
          <w:szCs w:val="15"/>
          <w:color w:val="auto"/>
        </w:rPr>
        <w:t>Without notice to or consent of any holder, the applicable issuer and guarantor with respect to a series of debt securities and the trustee may amend the indenture as it applies to such series or any of the other terms of such series for one or more of the following purposes:</w:t>
      </w:r>
    </w:p>
    <w:p>
      <w:pPr>
        <w:spacing w:after="0" w:line="55" w:lineRule="exact"/>
        <w:rPr>
          <w:sz w:val="20"/>
          <w:szCs w:val="20"/>
          <w:color w:val="auto"/>
        </w:rPr>
      </w:pPr>
    </w:p>
    <w:p>
      <w:pPr>
        <w:ind w:left="1580" w:right="1199" w:hanging="138"/>
        <w:spacing w:after="0" w:line="256"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such issuer pursuant to the provisions of the indenture relating to consolidations, mergers and sales of assets and the assumption by such successor of such issuer’s covenants, agreements and obligations in the indenture and with respect to the debt securities;</w:t>
      </w:r>
    </w:p>
    <w:p>
      <w:pPr>
        <w:spacing w:after="0" w:line="242" w:lineRule="exact"/>
        <w:rPr>
          <w:rFonts w:ascii="Times New Roman" w:cs="Times New Roman" w:eastAsia="Times New Roman" w:hAnsi="Times New Roman"/>
          <w:sz w:val="15"/>
          <w:szCs w:val="15"/>
          <w:color w:val="auto"/>
        </w:rPr>
      </w:pPr>
    </w:p>
    <w:p>
      <w:pPr>
        <w:ind w:left="1580" w:right="1179" w:hanging="138"/>
        <w:spacing w:after="0" w:line="248"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right or power conferred upon such issuer, to add to the covenants such further covenants, restrictions, conditions or provisions for the protection of the holders of such series of debt securities, and to make the occurrence, or the occurrence and continuance, of a default in respect of any of such additional covenants, restrictions, conditions or provisions a default or an event of default under the indenture with respect to such series; provided, however, that with respect to any such additional covenant, restriction, condition or provision, such supplemental indenture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any series of debt securities to waive such default;</w:t>
      </w:r>
    </w:p>
    <w:p>
      <w:pPr>
        <w:spacing w:after="0" w:line="72"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or correct or supplement any provision contained in the indenture, in any supplemental indenture, board resolution or officers’ certificate or in any debt securities that may be defective or inconsistent with any other provision contained therein;</w:t>
      </w:r>
    </w:p>
    <w:p>
      <w:pPr>
        <w:spacing w:after="0" w:line="61" w:lineRule="exact"/>
        <w:rPr>
          <w:rFonts w:ascii="Times New Roman" w:cs="Times New Roman" w:eastAsia="Times New Roman" w:hAnsi="Times New Roman"/>
          <w:sz w:val="15"/>
          <w:szCs w:val="15"/>
          <w:color w:val="auto"/>
        </w:rPr>
      </w:pPr>
    </w:p>
    <w:p>
      <w:pPr>
        <w:jc w:val="both"/>
        <w:ind w:left="1580" w:right="1319" w:hanging="138"/>
        <w:spacing w:after="0" w:line="258"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any property to or with the trustee, or to make such other provisions in regard to matters or questions arising under the indenture as shall not adversely affect the interests of any holders of debt securities of such series;</w:t>
      </w:r>
    </w:p>
    <w:p>
      <w:pPr>
        <w:spacing w:after="0" w:line="6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modify or amend the indenture in such a manner as to permit the qualification of the indenture or any supplemental indenture under the Trust Indenture Act as then in effect;</w:t>
      </w:r>
    </w:p>
    <w:p>
      <w:pPr>
        <w:spacing w:after="0" w:line="52" w:lineRule="exact"/>
        <w:rPr>
          <w:rFonts w:ascii="Times New Roman" w:cs="Times New Roman" w:eastAsia="Times New Roman" w:hAnsi="Times New Roman"/>
          <w:sz w:val="15"/>
          <w:szCs w:val="15"/>
          <w:color w:val="auto"/>
        </w:rPr>
      </w:pPr>
    </w:p>
    <w:p>
      <w:pPr>
        <w:ind w:left="1580" w:right="1179" w:hanging="138"/>
        <w:spacing w:after="0" w:line="250"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or change any of the provisions of the indenture to provide that debt securities in bearer form may be registrable as to principal, to change or eliminate any restrictions on the payment of principal, premium or interest with respect to debt securities in bearer form, to permit securities in registered form to be exchanged for securities in bearer form or to permit or facilitate the issuance of debt securities of such series in uncertificated form, provided that any such action shall not adversely affect the interests of the holders of debt securities or any coupons of any series in any material respect;</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79" w:hanging="138"/>
        <w:spacing w:after="0" w:line="254"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subordinated debt securities, to make any change in the provisions of the indenture or any supplemental indenture, board resolution or officers’ certificate relating to subordination that would limit or terminate the benefits available to any holder of senior indebtedness under such provisions, subject to any consent required under the terms of such senior indebtedness;</w:t>
      </w:r>
    </w:p>
    <w:p>
      <w:pPr>
        <w:spacing w:after="0" w:line="6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the debt securities or to secure the debt securities;</w:t>
      </w:r>
    </w:p>
    <w:p>
      <w:pPr>
        <w:spacing w:after="0" w:line="9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debt securities of such series;</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 or</w:t>
      </w:r>
    </w:p>
    <w:p>
      <w:pPr>
        <w:spacing w:after="0" w:line="64"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or terms of debt securities and coupons of any series, as described under “— General” above.</w:t>
      </w:r>
    </w:p>
    <w:p>
      <w:pPr>
        <w:spacing w:after="0" w:line="74"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UAL, United and the trustee may amend the indenture without notice to or consent of any holder to add to, change, or eliminate any of the provisions of the indenture, so long as any such addition, change or elimination not otherwise permitted under the indenture shall (a) neither apply to any debt security of any series outstanding at the time of the execution of such supplemental indenture and entitled to the benefit of such provision nor modify the rights of the holders of any such debt security with respect to such provision or (b) become effective only when there is no such debt security outstanding.</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Mergers and Sales of Assets</w:t>
      </w:r>
    </w:p>
    <w:p>
      <w:pPr>
        <w:spacing w:after="0" w:line="12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The indenture provides that the issuer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issuer) expressly assumes, by supplemental indenture, all obligations of such issuer under the applicable debt securities and the indenture; (b) no event of default with respect to any series of debt securities of such issuer issued under the indenture shall have occurred and be continuing; and (c) such issuer shall have provided the trustee with an officers’ certificate and an opinion of counsel confirming compliance with the indenture with respect to such transaction. Upon the assumption of the issuer’s obligations by such a person in such circumstances, subject to certain exceptions, such issuer shall be discharged from all obligations under the indenture.</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Satisfaction and Discharge of the Indenture; Defeasance</w:t>
      </w:r>
    </w:p>
    <w:p>
      <w:pPr>
        <w:spacing w:after="0" w:line="117"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Unless otherwise provided for in the prospectus supplement, the indenture shall cease to be of any further effect with respect to any series of debt securities if (1) either (a) the issuer has delivered to the trustee for cancellation all debt securities of such series (with certain limited exceptions) or (b) all debt securities and coupons of such series not theretofore delivered to the trustee for cancellation shall have become due and payable, are by their terms to become due and payable at their stated maturity within one year or are to be called for redemption within one year under arrangements satisfactory to the trustee for the giving of notice of redemption by the trustee in the name, and at the expense, of the issuer; and (2) the issuer shall have deposited with the trustee as trust funds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redemption date, as the case may be.</w:t>
      </w:r>
    </w:p>
    <w:p>
      <w:pPr>
        <w:spacing w:after="0" w:line="104"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In addition, the issuer shall have a “legal defeasance option” ​(pursuant to which the issuer may terminate, with respect to the debt securities of a particular series, all of its obligations under such debt securities and the indenture with respect to such debt securities) and a “covenant defeasance option” (pursuant to which the issuer may terminate, with respect to the debt securities of a particular series, its obligations with respect to such debt securities under certain specified covenants with respect to such debt securities). If the legal defeasance option is exercised with respect to a series of debt securities, payment of</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8" w:lineRule="auto"/>
        <w:rPr>
          <w:sz w:val="20"/>
          <w:szCs w:val="20"/>
          <w:color w:val="auto"/>
        </w:rPr>
      </w:pPr>
      <w:r>
        <w:rPr>
          <w:rFonts w:ascii="Times New Roman" w:cs="Times New Roman" w:eastAsia="Times New Roman" w:hAnsi="Times New Roman"/>
          <w:sz w:val="15"/>
          <w:szCs w:val="15"/>
          <w:color w:val="auto"/>
        </w:rPr>
        <w:t>such debt securities may not be accelerated because of an event of default. If the covenant defeasance option is exercised with respect to a series of debt securities, payment of such debt securities may not be accelerated because of an event of default related to the specified covenants.</w:t>
      </w:r>
    </w:p>
    <w:p>
      <w:pPr>
        <w:spacing w:after="0" w:line="95"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The applicable prospectus supplement will describe the procedures the issuer must follow in order to exercise its defeasance options.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Regarding the Trustee</w:t>
      </w:r>
    </w:p>
    <w:p>
      <w:pPr>
        <w:spacing w:after="0" w:line="128"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or use under the circumstances in the conduct of such person’s own affairs.</w:t>
      </w:r>
    </w:p>
    <w:p>
      <w:pPr>
        <w:spacing w:after="0" w:line="88" w:lineRule="exact"/>
        <w:rPr>
          <w:sz w:val="20"/>
          <w:szCs w:val="20"/>
          <w:color w:val="auto"/>
        </w:rPr>
      </w:pPr>
    </w:p>
    <w:p>
      <w:pPr>
        <w:ind w:left="1140" w:right="1419" w:firstLine="294"/>
        <w:spacing w:after="0" w:line="250" w:lineRule="auto"/>
        <w:rPr>
          <w:sz w:val="20"/>
          <w:szCs w:val="20"/>
          <w:color w:val="auto"/>
        </w:rPr>
      </w:pPr>
      <w:r>
        <w:rPr>
          <w:rFonts w:ascii="Times New Roman" w:cs="Times New Roman" w:eastAsia="Times New Roman" w:hAnsi="Times New Roman"/>
          <w:sz w:val="15"/>
          <w:szCs w:val="15"/>
          <w:color w:val="auto"/>
        </w:rPr>
        <w:t>The indenture and provisions of the Trust Indenture Act that are incorporated by reference therein contain limitations on the rights of the trustee, should it become one of an issuer’s creditors, to obtain payment of claims in certain cases or to realize on certain property received by it in respect of any such claim as security or otherwise. The trustee is permitted to engage in other transactions with any issuer or any of its affiliates; provided, however, that if it acquires any conflicting interest (as defined in the indenture or in the Trust Indenture Act), it must eliminate such conflict or resign.</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indenture is, and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DEPOSITARY SHARES</w:t>
      </w:r>
    </w:p>
    <w:p>
      <w:pPr>
        <w:spacing w:after="0" w:line="126" w:lineRule="exact"/>
        <w:rPr>
          <w:sz w:val="20"/>
          <w:szCs w:val="20"/>
          <w:color w:val="auto"/>
        </w:rPr>
      </w:pPr>
    </w:p>
    <w:p>
      <w:pPr>
        <w:ind w:left="1140" w:right="129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depositary shares does not purport to be complete and is subject to, and qualified in its entirety by reference to, the provisions of the deposit agreement that will be filed with the SEC in connection with the offering of such depositary shares.</w:t>
      </w:r>
    </w:p>
    <w:p>
      <w:pPr>
        <w:spacing w:after="0" w:line="8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UAL may offer fractional shares of Preferred Stock, rather than full shares of Preferred Stock. If UAL decides to offer fractional shares of Preferred Stock, it will issue receipts for depositary shares. Each depositary share will represent a fraction of a share of a particular series of Preferred Stock, and the prospectus supplement will indicate that fraction. The shares of Preferred Stock represented by depositary shares will be deposited under a deposit agreement between UAL and a depositary that is a bank or trust company that meets certain requirements and is selected by UAL.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Preferred Stock in accordance with the terms of the offering.</w:t>
      </w:r>
    </w:p>
    <w:p>
      <w:pPr>
        <w:spacing w:after="0" w:line="251"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have summarized selected provisions of the deposit agreement and the depositary receipts, but the summary is qualified by reference to the provisions of the deposit agreement and the depositary receipts. The particular terms of any series of depositary shares will be described in the applicable prospectus supplement. If so indicated in the prospectus supplement, the terms of any such series may differ from the terms set forth below.</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17"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The depositary will distribute all cash dividends or other cash distributions received by it in respect of the Preferred Stock to the record holders of depositary shares relating to such shares of Preferred Stock in proportion to the numbers of depositary shares held on the relevant record date. The amount made available for distribution will be reduced by any amounts withheld by the depositary or UAL on account of taxes.</w:t>
      </w:r>
    </w:p>
    <w:p>
      <w:pPr>
        <w:spacing w:after="0" w:line="93" w:lineRule="exact"/>
        <w:rPr>
          <w:sz w:val="20"/>
          <w:szCs w:val="20"/>
          <w:color w:val="auto"/>
        </w:rPr>
      </w:pPr>
    </w:p>
    <w:p>
      <w:pPr>
        <w:ind w:left="1140" w:right="1159" w:firstLine="294"/>
        <w:spacing w:after="0" w:line="241" w:lineRule="auto"/>
        <w:rPr>
          <w:sz w:val="20"/>
          <w:szCs w:val="20"/>
          <w:color w:val="auto"/>
        </w:rPr>
      </w:pPr>
      <w:r>
        <w:rPr>
          <w:rFonts w:ascii="Times New Roman" w:cs="Times New Roman" w:eastAsia="Times New Roman" w:hAnsi="Times New Roman"/>
          <w:sz w:val="15"/>
          <w:szCs w:val="15"/>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Withdrawal of Shares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 provided that the depositary will not issue any receipt evidencing a fractional depositary share.</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Redemption of Depositary Shares</w:t>
      </w:r>
    </w:p>
    <w:p>
      <w:pPr>
        <w:spacing w:after="0" w:line="117"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Whenever UAL redeems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Voting of Underlying Shares</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Upon receipt of notice of any meeting at which the holders of the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UAL will agree to take all reasonable actions that the depositary may deem necessary in order to enable the depositary to do so. To the extent the depositary does not receive specific instructions from the holders of depositary shares relating to such shares of Preferred Stock, it will abstain from voting such shares of Preferred Stock.</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Amendment and Termination of Deposit Agreement</w:t>
      </w:r>
    </w:p>
    <w:p>
      <w:pPr>
        <w:spacing w:after="0" w:line="128" w:lineRule="exact"/>
        <w:rPr>
          <w:sz w:val="20"/>
          <w:szCs w:val="20"/>
          <w:color w:val="auto"/>
        </w:rPr>
      </w:pPr>
    </w:p>
    <w:p>
      <w:pPr>
        <w:jc w:val="both"/>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The form of depositary receipt evidencing the depositary shares and any provision of the applicable deposit agreement may at any time be amended by agreement between UAL and the depositary. With the consent of the depositary, UAL may amend the deposit agreement from time to time in any manner that it desires. However, if the amendment would materially and adversely alter the rights of the existing holders of depositary shares, the amendment would need to be approved by the holders of at least a majority of the depositary shares then outstanding.</w:t>
      </w:r>
    </w:p>
    <w:p>
      <w:pPr>
        <w:spacing w:after="0" w:line="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deposit agreement may be terminated by UAL or the depositary if:</w:t>
      </w:r>
    </w:p>
    <w:p>
      <w:pPr>
        <w:spacing w:after="0" w:line="92" w:lineRule="exact"/>
        <w:rPr>
          <w:sz w:val="20"/>
          <w:szCs w:val="20"/>
          <w:color w:val="auto"/>
        </w:rPr>
      </w:pPr>
    </w:p>
    <w:p>
      <w:pPr>
        <w:ind w:left="1580" w:hanging="138"/>
        <w:spacing w:after="0"/>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outstanding depositary shares have been redeemed; or</w:t>
      </w:r>
    </w:p>
    <w:p>
      <w:pPr>
        <w:spacing w:after="0" w:line="92" w:lineRule="exact"/>
        <w:rPr>
          <w:rFonts w:ascii="Times New Roman" w:cs="Times New Roman" w:eastAsia="Times New Roman" w:hAnsi="Times New Roman"/>
          <w:sz w:val="15"/>
          <w:szCs w:val="15"/>
          <w:color w:val="auto"/>
        </w:rPr>
      </w:pPr>
    </w:p>
    <w:p>
      <w:pPr>
        <w:jc w:val="both"/>
        <w:ind w:left="1580" w:right="1219" w:hanging="138"/>
        <w:spacing w:after="0" w:line="258"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Resignation and Removal of Depositary</w:t>
      </w:r>
    </w:p>
    <w:p>
      <w:pPr>
        <w:spacing w:after="0" w:line="128" w:lineRule="exact"/>
        <w:rPr>
          <w:sz w:val="20"/>
          <w:szCs w:val="20"/>
          <w:color w:val="auto"/>
        </w:rPr>
      </w:pPr>
    </w:p>
    <w:p>
      <w:pPr>
        <w:ind w:left="1140" w:right="1319" w:firstLine="294"/>
        <w:spacing w:after="0" w:line="258" w:lineRule="auto"/>
        <w:rPr>
          <w:sz w:val="20"/>
          <w:szCs w:val="20"/>
          <w:color w:val="auto"/>
        </w:rPr>
      </w:pPr>
      <w:r>
        <w:rPr>
          <w:rFonts w:ascii="Times New Roman" w:cs="Times New Roman" w:eastAsia="Times New Roman" w:hAnsi="Times New Roman"/>
          <w:sz w:val="15"/>
          <w:szCs w:val="15"/>
          <w:color w:val="auto"/>
        </w:rPr>
        <w:t>The depositary may resign at any time by delivering to UAL notice of its election to do so. UAL may remove a depositary at any time. Any resignation or removal will take effect upon the appointment of a successor depositary and its acceptance of such appointment.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Charges of Depositary</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UAL will pay all transfer and other taxes and governmental charges arising solely from the existence of any depositary arrangements. UAL will pay all charges of each depositary in connection with the initial deposit of the shares of Preferred Stock of any series, the initial issuance of the depositary shares, any redemption or exchange of such shares of Preferred Stock and any withdrawals of such shares of Preferred Stock by holders of depositary shares. Holders of depositary shares will be required to pay any other transfer taxes and governmental charges.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117" w:lineRule="exact"/>
        <w:rPr>
          <w:sz w:val="20"/>
          <w:szCs w:val="20"/>
          <w:color w:val="auto"/>
        </w:rPr>
      </w:pPr>
    </w:p>
    <w:p>
      <w:pPr>
        <w:ind w:left="1140" w:right="1159" w:firstLine="294"/>
        <w:spacing w:after="0" w:line="258" w:lineRule="auto"/>
        <w:rPr>
          <w:sz w:val="20"/>
          <w:szCs w:val="20"/>
          <w:color w:val="auto"/>
        </w:rPr>
      </w:pPr>
      <w:r>
        <w:rPr>
          <w:rFonts w:ascii="Times New Roman" w:cs="Times New Roman" w:eastAsia="Times New Roman" w:hAnsi="Times New Roman"/>
          <w:sz w:val="15"/>
          <w:szCs w:val="15"/>
          <w:color w:val="auto"/>
        </w:rPr>
        <w:t>Each depositary will forward to the holders of the applicable depositary shares all notices, reports and communications from UAL which are delivered to such depositary and which UAL is required to furnish the holders of the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 of Liability</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The deposit agreement contains provisions that limit UAL’s liability and the liability of the depositary to the holders of depositary shares. Both the depositary and UAL are also entitled to an indemnity from the holders of the depositary shares prior to bringing, or defending against, any legal proceeding pertaining to the rights of the holders of the depositary shares. UAL or any depositary may rely upon written advice of counsel or accountants, or information provided by persons presenting shares of Preferred Stock for deposit, holders of depositary shares or other persons believed by UAL or it to be competent and on documents believed by UAL or them to be genuine.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STOCK PURCHASE CONTRACTS AND STOCK PURCHASE UNITS</w:t>
      </w:r>
    </w:p>
    <w:p>
      <w:pPr>
        <w:spacing w:after="0" w:line="126" w:lineRule="exact"/>
        <w:rPr>
          <w:sz w:val="20"/>
          <w:szCs w:val="20"/>
          <w:color w:val="auto"/>
        </w:rPr>
      </w:pPr>
    </w:p>
    <w:p>
      <w:pPr>
        <w:ind w:left="1140" w:right="1199" w:firstLine="294"/>
        <w:spacing w:after="0" w:line="255"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stock purchase contracts and stock purchase units does not purport to be complete and is subject to, and qualified in its entirety by reference to, the provisions of the stock purchase contract or stock purchase unit, as applicable, that will be filed with the SEC in connection with the offering of such securities.</w:t>
      </w:r>
    </w:p>
    <w:p>
      <w:pPr>
        <w:spacing w:after="0" w:line="97" w:lineRule="exact"/>
        <w:rPr>
          <w:sz w:val="20"/>
          <w:szCs w:val="20"/>
          <w:color w:val="auto"/>
        </w:rPr>
      </w:pPr>
    </w:p>
    <w:p>
      <w:pPr>
        <w:ind w:left="1140" w:right="1199" w:firstLine="294"/>
        <w:spacing w:after="0" w:line="247" w:lineRule="auto"/>
        <w:rPr>
          <w:sz w:val="20"/>
          <w:szCs w:val="20"/>
          <w:color w:val="auto"/>
        </w:rPr>
      </w:pPr>
      <w:r>
        <w:rPr>
          <w:rFonts w:ascii="Times New Roman" w:cs="Times New Roman" w:eastAsia="Times New Roman" w:hAnsi="Times New Roman"/>
          <w:sz w:val="15"/>
          <w:szCs w:val="15"/>
          <w:color w:val="auto"/>
        </w:rPr>
        <w:t>UAL may issue stock purchase contracts, including contracts obligating holders to purchase from it, and obligating UAL to sell to the holders, a specified number of shares of UAL Common Stock or Preferred Stock at a future date or dates, which we refer to in this prospectus as “stock purchase contracts.” The price per share of the UAL Common Stock or Preferred Stock and the number of shares of UAL Common Stock or Preferred Stock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our debt securities, Preferred Stock or warrants or debt obligations of third parties, including U.S. treasury securities, securing the holders’ obligations to purchase shares of UAL Common Stock or Preferred Stock under the stock purchase contracts, which we refer to herein as “stock purchase units.” The stock purchase contracts may require holders to secure their obligations under the stock purchase contracts in a specified manner and, in certain circumstances, we may deliver newly issued prepaid stock purchase contracts upon release to a holder of any collateral securing such holder’s obligations under the original stock purchase contract. The stock purchase contracts also may require us to make periodic payments to the holders of the stock purchase units or vice versa, and those payments may be unsecured or refunded on some basis.</w:t>
      </w:r>
    </w:p>
    <w:p>
      <w:pPr>
        <w:spacing w:after="0" w:line="97" w:lineRule="exact"/>
        <w:rPr>
          <w:sz w:val="20"/>
          <w:szCs w:val="20"/>
          <w:color w:val="auto"/>
        </w:rPr>
      </w:pPr>
    </w:p>
    <w:p>
      <w:pPr>
        <w:ind w:left="1140" w:right="1299" w:firstLine="294"/>
        <w:spacing w:after="0" w:line="249" w:lineRule="auto"/>
        <w:rPr>
          <w:sz w:val="20"/>
          <w:szCs w:val="20"/>
          <w:color w:val="auto"/>
        </w:rPr>
      </w:pPr>
      <w:r>
        <w:rPr>
          <w:rFonts w:ascii="Times New Roman" w:cs="Times New Roman" w:eastAsia="Times New Roman" w:hAnsi="Times New Roman"/>
          <w:sz w:val="15"/>
          <w:szCs w:val="15"/>
          <w:color w:val="auto"/>
        </w:rPr>
        <w:t>The applicable prospectus supplement will describe the terms of the stock purchase contracts or stock purchase units and, if applicable, prepaid stock purchase contracts. The description in the prospectus supplement will not necessarily be complete, and reference will be made to the stock purchase contracts, and, if applicable, collateral or depositary arrangements, relating to the stock purchase contracts or stock purchase units, which will be filed with the SEC each time UAL issues stock purchase contracts or stock purchase units. Material United States federal income tax considerations applicable to the stock purchase units and the stock purchase contracts will also be discussed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SUBSCRIPTION RIGHTS</w:t>
      </w:r>
    </w:p>
    <w:p>
      <w:pPr>
        <w:spacing w:after="0" w:line="126" w:lineRule="exact"/>
        <w:rPr>
          <w:sz w:val="20"/>
          <w:szCs w:val="20"/>
          <w:color w:val="auto"/>
        </w:rPr>
      </w:pPr>
    </w:p>
    <w:p>
      <w:pPr>
        <w:ind w:left="1140" w:right="121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3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UAL may issue subscription rights to purchase shares of UAL Common Stock, Preferred Stock, depositary shares or warrants to purchase shares of UAL Common Stock, Preferred Stock or depositary shares. Subscription rights may be issued independently or together with any other offered security and may or may not be transferable by the person purchasing or receiving the subscription rights. In connection with any subscription rights offering to UAL’s stockholders, UAL may enter into a standby underwriting arrangement with one or more underwriters pursuant to which such underwriters will purchase any offered securities remaining unsubscribed for after such subscription rights offering. In connection with a subscription rights offering to UAL’s stockholders, UAL will distribute certificates evidencing the subscription rights and a prospectus supplement to its stockholders on the record date that UAL sets for receiving subscription rights in such subscription rights offering.</w:t>
      </w:r>
    </w:p>
    <w:p>
      <w:pPr>
        <w:spacing w:after="0" w:line="100" w:lineRule="exact"/>
        <w:rPr>
          <w:sz w:val="20"/>
          <w:szCs w:val="20"/>
          <w:color w:val="auto"/>
        </w:rPr>
      </w:pPr>
    </w:p>
    <w:p>
      <w:pPr>
        <w:ind w:left="1140" w:right="1619" w:firstLine="294"/>
        <w:spacing w:after="0" w:line="256" w:lineRule="auto"/>
        <w:rPr>
          <w:sz w:val="20"/>
          <w:szCs w:val="20"/>
          <w:color w:val="auto"/>
        </w:rPr>
      </w:pPr>
      <w:r>
        <w:rPr>
          <w:rFonts w:ascii="Times New Roman" w:cs="Times New Roman" w:eastAsia="Times New Roman" w:hAnsi="Times New Roman"/>
          <w:sz w:val="15"/>
          <w:szCs w:val="15"/>
          <w:color w:val="auto"/>
        </w:rPr>
        <w:t>The applicable prospectus supplement will describe the following terms of subscription rights in respect of which this prospectus is being delivered:</w:t>
      </w:r>
    </w:p>
    <w:p>
      <w:pPr>
        <w:spacing w:after="0" w:line="52" w:lineRule="exact"/>
        <w:rPr>
          <w:sz w:val="20"/>
          <w:szCs w:val="20"/>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such subscription rights;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for which such subscription rights are exercisable;</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for such subscription rights;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such subscription rights issued to each stockholder;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are transferable;</w:t>
      </w:r>
    </w:p>
    <w:p>
      <w:pPr>
        <w:spacing w:after="0" w:line="9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such subscription rights shall commence, and the date on which such rights shall expire (subject to any extension);</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include an over-subscription privilege with respect to unsubscribed securities;</w:t>
      </w:r>
    </w:p>
    <w:p>
      <w:pPr>
        <w:spacing w:after="0" w:line="40"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other purchase arrangement that we may enter into in connection with the subscription rights offering; and</w:t>
      </w:r>
    </w:p>
    <w:p>
      <w:pPr>
        <w:spacing w:after="0" w:line="52"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subscription rights, including terms, procedures and limitations relating to the exchange and exercise of such subscription rights.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Exercise of Subscription Rights</w:t>
      </w:r>
    </w:p>
    <w:p>
      <w:pPr>
        <w:spacing w:after="0" w:line="12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Each subscription right will entitle the holder of the subscription right to purchase for cash such amount of shares of UAL Common Stock, Preferred Stock, depositary shares, warrants or any combination thereof,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00"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UAL will forward, as soon as practicable, the shares of UAL Common Stock, Preferred Stock, depositary shares or warrants purchasable upon such exercise. UAL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26" w:lineRule="exact"/>
        <w:rPr>
          <w:sz w:val="20"/>
          <w:szCs w:val="20"/>
          <w:color w:val="auto"/>
        </w:rPr>
      </w:pPr>
    </w:p>
    <w:p>
      <w:pPr>
        <w:ind w:left="1140" w:right="127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UAL may issue warrants for the purchase of debt securities, UAL Common Stock or Preferred Stock. Warrants may be issued independently or together with debt securities, UAL Common Stock or Preferred Stock offered by any prospectus supplement and may be attached to or separate from any such offered securities. Each series of warrants will be issued under a separate warrant agreement to be entered into between UAL and a bank or trust company, as warrant agent. The warrant agent will act solely as UAL’s agent in connection with the warrants and will not assume any obligation or relationship of agency or trust for or with any holders or beneficial owners of warrants.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Debt Warrants</w:t>
      </w:r>
    </w:p>
    <w:p>
      <w:pPr>
        <w:spacing w:after="0" w:line="117"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(l) the currency or currency units in which the offering price, if any, and the exercise price are payable; (m) the anti-dilution provisions of such debt warrants, if any; (n) the redemption or call provisions, if any, applicable to such debt warrants; and</w:t>
      </w:r>
    </w:p>
    <w:p>
      <w:pPr>
        <w:ind w:left="1140" w:right="1359" w:firstLine="8"/>
        <w:spacing w:after="0" w:line="251" w:lineRule="auto"/>
        <w:tabs>
          <w:tab w:leader="none" w:pos="13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such debt warrants, including terms, procedures and limitations relating to the exchange and exercise of such debt warrants.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 Warrants</w:t>
      </w:r>
    </w:p>
    <w:p>
      <w:pPr>
        <w:spacing w:after="0" w:line="128" w:lineRule="exact"/>
        <w:rPr>
          <w:sz w:val="20"/>
          <w:szCs w:val="20"/>
          <w:color w:val="auto"/>
        </w:rPr>
      </w:pPr>
    </w:p>
    <w:p>
      <w:pPr>
        <w:ind w:left="1140" w:right="1359" w:firstLine="294"/>
        <w:spacing w:after="0" w:line="252" w:lineRule="auto"/>
        <w:rPr>
          <w:sz w:val="20"/>
          <w:szCs w:val="20"/>
          <w:color w:val="auto"/>
        </w:rPr>
      </w:pPr>
      <w:r>
        <w:rPr>
          <w:rFonts w:ascii="Times New Roman" w:cs="Times New Roman" w:eastAsia="Times New Roman" w:hAnsi="Times New Roman"/>
          <w:sz w:val="15"/>
          <w:szCs w:val="15"/>
          <w:color w:val="auto"/>
        </w:rPr>
        <w:t>The prospectus supplement relating to any particular issue of UAL Common Stock warrants or Preferred Stock warrants will describe the terms of such warrants, including the following: (a) the title of such warrants; (b) the offering price for such warrants, if any; (c) the aggregate number of such warrants;</w:t>
      </w:r>
    </w:p>
    <w:p>
      <w:pPr>
        <w:spacing w:after="0" w:line="1" w:lineRule="exact"/>
        <w:rPr>
          <w:sz w:val="20"/>
          <w:szCs w:val="20"/>
          <w:color w:val="auto"/>
        </w:rPr>
      </w:pPr>
    </w:p>
    <w:p>
      <w:pPr>
        <w:ind w:left="1140" w:right="1179" w:firstLine="8"/>
        <w:spacing w:after="0" w:line="245" w:lineRule="auto"/>
        <w:tabs>
          <w:tab w:leader="none" w:pos="13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UAL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UAL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w:t>
      </w:r>
    </w:p>
    <w:p>
      <w:pPr>
        <w:spacing w:after="0" w:line="4" w:lineRule="exact"/>
        <w:rPr>
          <w:rFonts w:ascii="Times New Roman" w:cs="Times New Roman" w:eastAsia="Times New Roman" w:hAnsi="Times New Roman"/>
          <w:sz w:val="15"/>
          <w:szCs w:val="15"/>
          <w:color w:val="auto"/>
        </w:rPr>
      </w:pPr>
    </w:p>
    <w:p>
      <w:pPr>
        <w:ind w:left="1340" w:hanging="192"/>
        <w:spacing w:after="0"/>
        <w:tabs>
          <w:tab w:leader="none" w:pos="13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4" w:lineRule="exact"/>
        <w:rPr>
          <w:rFonts w:ascii="Times New Roman" w:cs="Times New Roman" w:eastAsia="Times New Roman" w:hAnsi="Times New Roman"/>
          <w:sz w:val="15"/>
          <w:szCs w:val="15"/>
          <w:color w:val="auto"/>
        </w:rPr>
      </w:pPr>
    </w:p>
    <w:p>
      <w:pPr>
        <w:ind w:left="1140" w:right="1199" w:firstLine="8"/>
        <w:spacing w:after="0" w:line="248" w:lineRule="auto"/>
        <w:tabs>
          <w:tab w:leader="none" w:pos="13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of such warrants, if any; (l) the redemption or call provisions, if any, applicable to such warrants; and (m) any additional terms of such warrants, including terms, procedures and limitations relating to the exchange and exercise of such warrants.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28"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We and any selling security holder may offer and sell the securities covered by this prospectus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60" w:lineRule="exact"/>
        <w:rPr>
          <w:sz w:val="20"/>
          <w:szCs w:val="20"/>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underwriters;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brokers or dealers;</w:t>
      </w:r>
    </w:p>
    <w:p>
      <w:pPr>
        <w:spacing w:after="0" w:line="92" w:lineRule="exact"/>
        <w:rPr>
          <w:rFonts w:ascii="Times New Roman" w:cs="Times New Roman" w:eastAsia="Times New Roman" w:hAnsi="Times New Roman"/>
          <w:sz w:val="15"/>
          <w:szCs w:val="15"/>
          <w:color w:val="auto"/>
        </w:rPr>
      </w:pPr>
    </w:p>
    <w:p>
      <w:pPr>
        <w:ind w:left="1580" w:right="1479" w:hanging="138"/>
        <w:spacing w:after="0" w:line="271" w:lineRule="auto"/>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by us or any selling security holders to purchasers, including through a specific bidding, auction or other process;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126" w:lineRule="exact"/>
        <w:rPr>
          <w:sz w:val="20"/>
          <w:szCs w:val="20"/>
          <w:color w:val="auto"/>
        </w:rPr>
      </w:pPr>
    </w:p>
    <w:p>
      <w:pPr>
        <w:ind w:left="1140" w:right="1199" w:firstLine="294"/>
        <w:spacing w:after="0" w:line="256" w:lineRule="auto"/>
        <w:rPr>
          <w:sz w:val="20"/>
          <w:szCs w:val="20"/>
          <w:color w:val="auto"/>
        </w:rPr>
      </w:pPr>
      <w:r>
        <w:rPr>
          <w:rFonts w:ascii="Times New Roman" w:cs="Times New Roman" w:eastAsia="Times New Roman" w:hAnsi="Times New Roman"/>
          <w:sz w:val="15"/>
          <w:szCs w:val="15"/>
          <w:color w:val="auto"/>
        </w:rPr>
        <w:t>Registration of the securities covered by this prospectus does not mean that those securities necessarily will be offered or sold.</w:t>
      </w:r>
    </w:p>
    <w:p>
      <w:pPr>
        <w:spacing w:after="0" w:line="85" w:lineRule="exact"/>
        <w:rPr>
          <w:sz w:val="20"/>
          <w:szCs w:val="20"/>
          <w:color w:val="auto"/>
        </w:rPr>
      </w:pPr>
    </w:p>
    <w:p>
      <w:pPr>
        <w:ind w:left="1140" w:right="1739" w:firstLine="294"/>
        <w:spacing w:after="0" w:line="256" w:lineRule="auto"/>
        <w:rPr>
          <w:sz w:val="20"/>
          <w:szCs w:val="20"/>
          <w:color w:val="auto"/>
        </w:rPr>
      </w:pPr>
      <w:r>
        <w:rPr>
          <w:rFonts w:ascii="Times New Roman" w:cs="Times New Roman" w:eastAsia="Times New Roman" w:hAnsi="Times New Roman"/>
          <w:sz w:val="15"/>
          <w:szCs w:val="15"/>
          <w:color w:val="auto"/>
        </w:rPr>
        <w:t>In effecting sales, brokers or dealers engaged by us may arrange for other brokers or dealers to participate. Broker-dealer transactions may include:</w:t>
      </w:r>
    </w:p>
    <w:p>
      <w:pPr>
        <w:spacing w:after="0" w:line="52" w:lineRule="exact"/>
        <w:rPr>
          <w:sz w:val="20"/>
          <w:szCs w:val="20"/>
          <w:color w:val="auto"/>
        </w:rPr>
      </w:pPr>
    </w:p>
    <w:p>
      <w:pPr>
        <w:ind w:left="1580" w:right="1219" w:hanging="138"/>
        <w:spacing w:after="0" w:line="271" w:lineRule="auto"/>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of the securities by a broker-dealer as principal and resales of the securities by the broker-dealer for its account pursuant to this prospectus;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brokerage transactions; or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which the broker-dealer solicits purchasers.</w:t>
      </w:r>
    </w:p>
    <w:p>
      <w:pPr>
        <w:spacing w:after="0" w:line="115" w:lineRule="exact"/>
        <w:rPr>
          <w:sz w:val="20"/>
          <w:szCs w:val="20"/>
          <w:color w:val="auto"/>
        </w:rPr>
      </w:pPr>
    </w:p>
    <w:p>
      <w:pPr>
        <w:ind w:left="1140" w:right="1419" w:firstLine="294"/>
        <w:spacing w:after="0" w:line="271" w:lineRule="auto"/>
        <w:rPr>
          <w:sz w:val="20"/>
          <w:szCs w:val="20"/>
          <w:color w:val="auto"/>
        </w:rPr>
      </w:pPr>
      <w:r>
        <w:rPr>
          <w:rFonts w:ascii="Times New Roman" w:cs="Times New Roman" w:eastAsia="Times New Roman" w:hAnsi="Times New Roman"/>
          <w:sz w:val="15"/>
          <w:szCs w:val="15"/>
          <w:color w:val="auto"/>
        </w:rPr>
        <w:t>In addition, we and any selling security holder may sell any securities covered by this prospectus in private transactions or under Rule 144 under the Securities Act rather than pursuant to this prospectus.</w:t>
      </w:r>
    </w:p>
    <w:p>
      <w:pPr>
        <w:spacing w:after="0" w:line="74"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agents or other persons acting on our behalf that participate in the distribution of the securities may be deemed to be “underwriters” within the meaning of the Securities Act, and any profit on the sale of the securities by them and any discounts, commissions or concessions received by any of those underwriters, broker-dealers agents or other persons may be deemed to be underwriting discounts and commissions under the Securities Act.</w:t>
      </w:r>
    </w:p>
    <w:p>
      <w:pPr>
        <w:spacing w:after="0" w:line="99"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In connection with the distribution of the securities covered by this prospectus or otherwise, we or any selling stockholder may enter into hedging transactions with broker-dealers or other financial institutions. In connection with such transactions, broker- dealers or other financial institutions may engage in short sales of our securities in the course of hedging the positions they assume with us or any selling stockholder. We or any selling stockholder may also sell securities short and deliver the securities offered by this prospectus to close out our short positions. We or any selling security 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 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be sold only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0"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We may solicit offers to purchase directly. Offers to purchase securities also may be solicited by agents designated by us from time to time. Any such agent involved in the offer or sale of the securities in respect of which this prospectus is delivered will be named, and any commissions payable by us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w:t>
      </w:r>
    </w:p>
    <w:p>
      <w:pPr>
        <w:spacing w:after="0" w:line="100" w:lineRule="exact"/>
        <w:rPr>
          <w:sz w:val="20"/>
          <w:szCs w:val="20"/>
          <w:color w:val="auto"/>
        </w:rPr>
      </w:pPr>
    </w:p>
    <w:p>
      <w:pPr>
        <w:ind w:left="1140" w:right="1539" w:firstLine="294"/>
        <w:spacing w:after="0" w:line="251" w:lineRule="auto"/>
        <w:rPr>
          <w:sz w:val="20"/>
          <w:szCs w:val="20"/>
          <w:color w:val="auto"/>
        </w:rPr>
      </w:pPr>
      <w:r>
        <w:rPr>
          <w:rFonts w:ascii="Times New Roman" w:cs="Times New Roman" w:eastAsia="Times New Roman" w:hAnsi="Times New Roman"/>
          <w:sz w:val="15"/>
          <w:szCs w:val="15"/>
          <w:color w:val="auto"/>
        </w:rPr>
        <w:t>UAL may offer its equity securities into an existing trading market on the terms described in the applicable prospectus supplement. Underwriters, dealers and agents who may participate in any at-the-market offerings will be described in the prospectus supplement relating thereto.</w:t>
      </w:r>
    </w:p>
    <w:p>
      <w:pPr>
        <w:spacing w:after="0" w:line="88"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Securities may also be offered and sold, if so indicated in the applicable prospectus supplement, in connection with a remarketing upon their purchase, in accordance with a redemption or repayment pursuant to their terms, or otherwise, by one or more firms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as that term is defined in the Securities Act, in connection with the securities remarketed thereby.</w:t>
      </w:r>
    </w:p>
    <w:p>
      <w:pPr>
        <w:spacing w:after="0" w:line="99"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may authorize agents, dealers or underwriters to solicit offers by certain institutions to purchase securities from us at the public offering price set forth in the applicable prospectus supplement pursuant to delayed delivery contracts providing for payment and delivery on the date or dates stated in the applicable prospectus supplement. Such delayed delivery contracts will be subject to only those conditions set forth in the applicable prospectus supplement. A commission indicated in the applicable prospectus supplement will be paid to underwriters and agents soliciting purchases of securities pursuant to delayed delivery contracts accepted by us.</w:t>
      </w:r>
    </w:p>
    <w:p>
      <w:pPr>
        <w:spacing w:after="0" w:line="100" w:lineRule="exact"/>
        <w:rPr>
          <w:sz w:val="20"/>
          <w:szCs w:val="20"/>
          <w:color w:val="auto"/>
        </w:rPr>
      </w:pPr>
    </w:p>
    <w:p>
      <w:pPr>
        <w:ind w:left="1140" w:right="1259" w:firstLine="294"/>
        <w:spacing w:after="0" w:line="238" w:lineRule="auto"/>
        <w:rPr>
          <w:sz w:val="20"/>
          <w:szCs w:val="20"/>
          <w:color w:val="auto"/>
        </w:rPr>
      </w:pPr>
      <w:r>
        <w:rPr>
          <w:rFonts w:ascii="Times New Roman" w:cs="Times New Roman" w:eastAsia="Times New Roman" w:hAnsi="Times New Roman"/>
          <w:sz w:val="15"/>
          <w:szCs w:val="15"/>
          <w:color w:val="auto"/>
        </w:rPr>
        <w:t>In connection with an underwritten offering, we and any selling stockholder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or any selling security holder may grant to the underwriter or underwriters an option to purchase additional securities at the public offering price, less any underwriting discount, as may be set forth in the revised prospectus or applicable prospectus supplement. If we or any selling security holder grants any such option, the terms of that option will be set forth in the revised prospectus or applicable prospectus supplement.</w:t>
      </w:r>
    </w:p>
    <w:p>
      <w:pPr>
        <w:spacing w:after="0" w:line="10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Underwriters, agents, brokers or dealers may be entitled, pursuant to relevant agreements entered into with us, to indemnification by us or any selling security holder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8"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UAL and United file annual, quarterly and current reports and other information, and UAL files proxy statements with the SEC under the Exchange Act.</w:t>
      </w:r>
    </w:p>
    <w:p>
      <w:pPr>
        <w:spacing w:after="0" w:line="85" w:lineRule="exact"/>
        <w:rPr>
          <w:sz w:val="20"/>
          <w:szCs w:val="20"/>
          <w:color w:val="auto"/>
        </w:rPr>
      </w:pPr>
    </w:p>
    <w:p>
      <w:pPr>
        <w:ind w:left="1140" w:right="1379" w:firstLine="294"/>
        <w:spacing w:after="0" w:line="258" w:lineRule="auto"/>
        <w:rPr>
          <w:sz w:val="20"/>
          <w:szCs w:val="20"/>
          <w:color w:val="auto"/>
        </w:rPr>
      </w:pPr>
      <w:r>
        <w:rPr>
          <w:rFonts w:ascii="Times New Roman" w:cs="Times New Roman" w:eastAsia="Times New Roman" w:hAnsi="Times New Roman"/>
          <w:sz w:val="15"/>
          <w:szCs w:val="15"/>
          <w:color w:val="auto"/>
        </w:rPr>
        <w:t xml:space="preserve">The SEC maintains an internet website that contains reports, proxy statements and other information about issuers, like us, who file reports electronically with the SEC. The address of that site is </w:t>
      </w:r>
      <w:r>
        <w:rPr>
          <w:rFonts w:ascii="Times New Roman" w:cs="Times New Roman" w:eastAsia="Times New Roman" w:hAnsi="Times New Roman"/>
          <w:sz w:val="15"/>
          <w:szCs w:val="15"/>
          <w:i w:val="1"/>
          <w:iCs w:val="1"/>
          <w:color w:val="auto"/>
        </w:rPr>
        <w:t>http://www.sec.gov.</w:t>
      </w:r>
    </w:p>
    <w:p>
      <w:pPr>
        <w:spacing w:after="0" w:line="84"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28"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w:t>
      </w:r>
    </w:p>
    <w:p>
      <w:pPr>
        <w:spacing w:after="0" w:line="99"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This prospectus incorporates by reference the documents listed below that we previously have filed with the SEC (excluding any information that has been “furnished” but not “filed” for purposes of the Exchange Act) and that are not delivered with this prospectus. They contain important information about us and our financial condition.</w:t>
      </w:r>
    </w:p>
    <w:p>
      <w:pPr>
        <w:sectPr>
          <w:pgSz w:w="11900" w:h="16838" w:orient="portrait"/>
          <w:cols w:equalWidth="0" w:num="1">
            <w:col w:w="9019"/>
          </w:cols>
          <w:pgMar w:left="1440" w:top="98" w:right="1440" w:bottom="1440" w:gutter="0" w:footer="0" w:header="0"/>
        </w:sectPr>
      </w:pPr>
    </w:p>
    <w:p>
      <w:pPr>
        <w:spacing w:after="0" w:line="2" w:lineRule="exact"/>
        <w:rPr>
          <w:sz w:val="20"/>
          <w:szCs w:val="20"/>
          <w:color w:val="auto"/>
        </w:rPr>
      </w:pPr>
    </w:p>
    <w:p>
      <w:pPr>
        <w:ind w:left="1140"/>
        <w:spacing w:after="0"/>
        <w:tabs>
          <w:tab w:leader="none" w:pos="4840" w:val="left"/>
        </w:tabs>
        <w:rPr>
          <w:sz w:val="20"/>
          <w:szCs w:val="20"/>
          <w:color w:val="auto"/>
        </w:rPr>
      </w:pPr>
      <w:r>
        <w:rPr>
          <w:rFonts w:ascii="Times New Roman" w:cs="Times New Roman" w:eastAsia="Times New Roman" w:hAnsi="Times New Roman"/>
          <w:sz w:val="12"/>
          <w:szCs w:val="12"/>
          <w:b w:val="1"/>
          <w:bCs w:val="1"/>
          <w:color w:val="auto"/>
        </w:rPr>
        <w:t>Combined Filings by UAL and United</w:t>
      </w:r>
      <w:r>
        <w:rPr>
          <w:sz w:val="20"/>
          <w:szCs w:val="20"/>
          <w:color w:val="auto"/>
        </w:rPr>
        <w:tab/>
      </w:r>
      <w:r>
        <w:rPr>
          <w:rFonts w:ascii="Times New Roman" w:cs="Times New Roman" w:eastAsia="Times New Roman" w:hAnsi="Times New Roman"/>
          <w:sz w:val="14"/>
          <w:szCs w:val="14"/>
          <w:b w:val="1"/>
          <w:bCs w:val="1"/>
          <w:color w:val="auto"/>
          <w:vertAlign w:val="subscript"/>
        </w:rPr>
        <w:t xml:space="preserve">​ ​ </w:t>
      </w:r>
      <w:r>
        <w:rPr>
          <w:rFonts w:ascii="Times New Roman" w:cs="Times New Roman" w:eastAsia="Times New Roman" w:hAnsi="Times New Roman"/>
          <w:sz w:val="14"/>
          <w:szCs w:val="14"/>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86995</wp:posOffset>
            </wp:positionV>
            <wp:extent cx="426212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7" w:lineRule="exact"/>
        <w:rPr>
          <w:sz w:val="20"/>
          <w:szCs w:val="20"/>
          <w:color w:val="auto"/>
        </w:rPr>
      </w:pPr>
    </w:p>
    <w:p>
      <w:pPr>
        <w:sectPr>
          <w:pgSz w:w="11900" w:h="16838" w:orient="portrait"/>
          <w:cols w:equalWidth="0" w:num="2">
            <w:col w:w="7140" w:space="720"/>
            <w:col w:w="1159"/>
          </w:cols>
          <w:pgMar w:left="1440" w:top="98" w:right="1440" w:bottom="1440" w:gutter="0" w:footer="0" w:header="0"/>
          <w:type w:val="continuous"/>
        </w:sectPr>
      </w:pPr>
    </w:p>
    <w:p>
      <w:pPr>
        <w:spacing w:after="0" w:line="15" w:lineRule="exact"/>
        <w:rPr>
          <w:sz w:val="20"/>
          <w:szCs w:val="20"/>
          <w:color w:val="auto"/>
        </w:rPr>
      </w:pPr>
    </w:p>
    <w:p>
      <w:pPr>
        <w:ind w:left="1300" w:right="140" w:hanging="146"/>
        <w:spacing w:after="0" w:line="249" w:lineRule="auto"/>
        <w:rPr>
          <w:sz w:val="20"/>
          <w:szCs w:val="20"/>
          <w:color w:val="auto"/>
        </w:rPr>
      </w:pPr>
      <w:r>
        <w:rPr>
          <w:rFonts w:ascii="Times New Roman" w:cs="Times New Roman" w:eastAsia="Times New Roman" w:hAnsi="Times New Roman"/>
          <w:sz w:val="15"/>
          <w:szCs w:val="15"/>
          <w:color w:val="auto"/>
        </w:rPr>
        <w:t>Annual Report on Form 10-K for the year ended December 31, 2022 (including those portions of UAL’s Definitive Proxy Statement on Schedule 14A filed with the SEC on April 13, 2023 that are specifically incorporated by reference into such Annual Report 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Form 10-K)......................................................................</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March 31, 2023................................................................</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June 30, 2023....................................................................</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Quarterly Report on Form 10-Q for the quarter ended</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September 30, 2023..........................................................</w:t>
      </w:r>
    </w:p>
    <w:p>
      <w:pPr>
        <w:spacing w:after="0" w:line="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 (Item 5.02 only).....................</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Current Report on Form 8-K (Item 1.01 only).....................</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Registration Statement on Form 8-A, description of UAL’s</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Common Stock, par value $0.01 per share.......................</w:t>
      </w: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Registration Statement on Form 8-A, description of UAL’s</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Preferred Stock Purchase Rights......................................</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6">
        <w:r>
          <w:rPr>
            <w:rFonts w:ascii="Times New Roman" w:cs="Times New Roman" w:eastAsia="Times New Roman" w:hAnsi="Times New Roman"/>
            <w:sz w:val="15"/>
            <w:szCs w:val="15"/>
            <w:u w:val="single" w:color="auto"/>
            <w:color w:val="0000EE"/>
          </w:rPr>
          <w:t>February 16,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7">
        <w:r>
          <w:rPr>
            <w:rFonts w:ascii="Times New Roman" w:cs="Times New Roman" w:eastAsia="Times New Roman" w:hAnsi="Times New Roman"/>
            <w:sz w:val="15"/>
            <w:szCs w:val="15"/>
            <w:u w:val="single" w:color="auto"/>
            <w:color w:val="0000EE"/>
          </w:rPr>
          <w:t>April 20,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8">
        <w:r>
          <w:rPr>
            <w:rFonts w:ascii="Times New Roman" w:cs="Times New Roman" w:eastAsia="Times New Roman" w:hAnsi="Times New Roman"/>
            <w:sz w:val="15"/>
            <w:szCs w:val="15"/>
            <w:u w:val="single" w:color="auto"/>
            <w:color w:val="0000EE"/>
          </w:rPr>
          <w:t>July 20, 2023</w:t>
        </w:r>
      </w:hyperlink>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23" w:lineRule="exact"/>
        <w:rPr>
          <w:sz w:val="20"/>
          <w:szCs w:val="20"/>
          <w:color w:val="auto"/>
        </w:rPr>
      </w:pPr>
    </w:p>
    <w:p>
      <w:pPr>
        <w:ind w:left="183"/>
        <w:spacing w:after="0"/>
        <w:rPr>
          <w:rFonts w:ascii="Times New Roman" w:cs="Times New Roman" w:eastAsia="Times New Roman" w:hAnsi="Times New Roman"/>
          <w:sz w:val="15"/>
          <w:szCs w:val="15"/>
          <w:u w:val="single" w:color="auto"/>
          <w:color w:val="0000EE"/>
        </w:rPr>
      </w:pPr>
      <w:hyperlink r:id="rId179">
        <w:r>
          <w:rPr>
            <w:rFonts w:ascii="Times New Roman" w:cs="Times New Roman" w:eastAsia="Times New Roman" w:hAnsi="Times New Roman"/>
            <w:sz w:val="15"/>
            <w:szCs w:val="15"/>
            <w:u w:val="single" w:color="auto"/>
            <w:color w:val="0000EE"/>
          </w:rPr>
          <w:t>October 18, 2023</w:t>
        </w:r>
      </w:hyperlink>
    </w:p>
    <w:p>
      <w:pPr>
        <w:ind w:left="83" w:hanging="83"/>
        <w:spacing w:after="0" w:line="197" w:lineRule="auto"/>
        <w:tabs>
          <w:tab w:leader="none" w:pos="83" w:val="left"/>
        </w:tabs>
        <w:numPr>
          <w:ilvl w:val="0"/>
          <w:numId w:val="67"/>
        </w:numPr>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29"/>
          <w:szCs w:val="29"/>
          <w:color w:val="000000"/>
          <w:vertAlign w:val="superscript"/>
        </w:rPr>
        <w:t>​</w:t>
      </w:r>
      <w:r>
        <w:rPr>
          <w:rFonts w:ascii="Times New Roman" w:cs="Times New Roman" w:eastAsia="Times New Roman" w:hAnsi="Times New Roman"/>
          <w:sz w:val="15"/>
          <w:szCs w:val="15"/>
          <w:color w:val="0000EE"/>
        </w:rPr>
        <w:t xml:space="preserve"> </w:t>
      </w:r>
      <w:hyperlink r:id="rId180">
        <w:r>
          <w:rPr>
            <w:rFonts w:ascii="Times New Roman" w:cs="Times New Roman" w:eastAsia="Times New Roman" w:hAnsi="Times New Roman"/>
            <w:sz w:val="15"/>
            <w:szCs w:val="15"/>
            <w:u w:val="single" w:color="auto"/>
            <w:color w:val="0000EE"/>
          </w:rPr>
          <w:t>May 31, 2023</w:t>
        </w:r>
      </w:hyperlink>
    </w:p>
    <w:p>
      <w:pPr>
        <w:ind w:left="83" w:hanging="83"/>
        <w:spacing w:after="0" w:line="182" w:lineRule="auto"/>
        <w:tabs>
          <w:tab w:leader="none" w:pos="83" w:val="left"/>
        </w:tabs>
        <w:numPr>
          <w:ilvl w:val="0"/>
          <w:numId w:val="67"/>
        </w:numPr>
        <w:rPr>
          <w:rFonts w:ascii="Times New Roman" w:cs="Times New Roman" w:eastAsia="Times New Roman" w:hAnsi="Times New Roman"/>
          <w:sz w:val="13"/>
          <w:szCs w:val="13"/>
          <w:color w:val="0000EE"/>
        </w:rPr>
      </w:pPr>
      <w:hyperlink r:id="rId181"/>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 xml:space="preserve"> </w:t>
      </w:r>
      <w:hyperlink r:id="rId181">
        <w:r>
          <w:rPr>
            <w:rFonts w:ascii="Times New Roman" w:cs="Times New Roman" w:eastAsia="Times New Roman" w:hAnsi="Times New Roman"/>
            <w:sz w:val="13"/>
            <w:szCs w:val="13"/>
            <w:u w:val="single" w:color="auto"/>
            <w:color w:val="0000EE"/>
          </w:rPr>
          <w:t>June 20, 2023</w:t>
        </w:r>
      </w:hyperlink>
    </w:p>
    <w:p>
      <w:pPr>
        <w:ind w:left="83" w:hanging="83"/>
        <w:spacing w:after="0" w:line="182" w:lineRule="auto"/>
        <w:tabs>
          <w:tab w:leader="none" w:pos="83" w:val="left"/>
        </w:tabs>
        <w:numPr>
          <w:ilvl w:val="0"/>
          <w:numId w:val="67"/>
        </w:numPr>
        <w:rPr>
          <w:rFonts w:ascii="Times New Roman" w:cs="Times New Roman" w:eastAsia="Times New Roman" w:hAnsi="Times New Roman"/>
          <w:sz w:val="13"/>
          <w:szCs w:val="13"/>
          <w:color w:val="0000EE"/>
        </w:rPr>
      </w:pPr>
      <w:hyperlink r:id="rId182"/>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 xml:space="preserve"> </w:t>
      </w:r>
      <w:hyperlink r:id="rId182">
        <w:r>
          <w:rPr>
            <w:rFonts w:ascii="Times New Roman" w:cs="Times New Roman" w:eastAsia="Times New Roman" w:hAnsi="Times New Roman"/>
            <w:sz w:val="13"/>
            <w:szCs w:val="13"/>
            <w:u w:val="single" w:color="auto"/>
            <w:color w:val="0000EE"/>
          </w:rPr>
          <w:t>September 22, 2023</w:t>
        </w:r>
      </w:hyperlink>
    </w:p>
    <w:p>
      <w:pPr>
        <w:ind w:left="83" w:hanging="83"/>
        <w:spacing w:after="0" w:line="184" w:lineRule="auto"/>
        <w:tabs>
          <w:tab w:leader="none" w:pos="83" w:val="left"/>
        </w:tabs>
        <w:numPr>
          <w:ilvl w:val="0"/>
          <w:numId w:val="67"/>
        </w:numPr>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2"/>
          <w:szCs w:val="12"/>
          <w:color w:val="0000EE"/>
        </w:rPr>
        <w:t xml:space="preserve"> </w:t>
      </w:r>
      <w:hyperlink r:id="rId183">
        <w:r>
          <w:rPr>
            <w:rFonts w:ascii="Times New Roman" w:cs="Times New Roman" w:eastAsia="Times New Roman" w:hAnsi="Times New Roman"/>
            <w:sz w:val="12"/>
            <w:szCs w:val="12"/>
            <w:u w:val="single" w:color="auto"/>
            <w:color w:val="0000EE"/>
          </w:rPr>
          <w:t>October 4, 2023</w:t>
        </w:r>
      </w:hyperlink>
    </w:p>
    <w:p>
      <w:pPr>
        <w:ind w:left="83" w:hanging="83"/>
        <w:spacing w:after="0"/>
        <w:tabs>
          <w:tab w:leader="none" w:pos="83"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43" w:lineRule="exact"/>
        <w:rPr>
          <w:rFonts w:ascii="Times New Roman" w:cs="Times New Roman" w:eastAsia="Times New Roman" w:hAnsi="Times New Roman"/>
          <w:sz w:val="20"/>
          <w:szCs w:val="20"/>
          <w:color w:val="auto"/>
          <w:vertAlign w:val="superscript"/>
        </w:rPr>
      </w:pPr>
    </w:p>
    <w:p>
      <w:pPr>
        <w:ind w:left="183"/>
        <w:spacing w:after="0" w:line="252" w:lineRule="auto"/>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u w:val="single" w:color="auto"/>
            <w:color w:val="0000EE"/>
          </w:rPr>
          <w:t>September 5, 2018</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any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amendments or reports filed to update such description</w:t>
      </w:r>
    </w:p>
    <w:p>
      <w:pPr>
        <w:spacing w:after="0" w:line="1" w:lineRule="exact"/>
        <w:rPr>
          <w:rFonts w:ascii="Times New Roman" w:cs="Times New Roman" w:eastAsia="Times New Roman" w:hAnsi="Times New Roman"/>
          <w:sz w:val="20"/>
          <w:szCs w:val="20"/>
          <w:color w:val="auto"/>
          <w:vertAlign w:val="superscript"/>
        </w:rPr>
      </w:pPr>
    </w:p>
    <w:p>
      <w:pPr>
        <w:ind w:left="3"/>
        <w:spacing w:after="0"/>
        <w:rPr>
          <w:sz w:val="20"/>
          <w:szCs w:val="20"/>
          <w:color w:val="auto"/>
        </w:rPr>
      </w:pPr>
      <w:r>
        <w:rPr>
          <w:rFonts w:ascii="Times New Roman" w:cs="Times New Roman" w:eastAsia="Times New Roman" w:hAnsi="Times New Roman"/>
          <w:sz w:val="15"/>
          <w:szCs w:val="15"/>
          <w:color w:val="auto"/>
        </w:rPr>
        <w:t>​ ​</w:t>
      </w:r>
    </w:p>
    <w:p>
      <w:pPr>
        <w:spacing w:after="0" w:line="56" w:lineRule="exact"/>
        <w:rPr>
          <w:rFonts w:ascii="Times New Roman" w:cs="Times New Roman" w:eastAsia="Times New Roman" w:hAnsi="Times New Roman"/>
          <w:sz w:val="20"/>
          <w:szCs w:val="20"/>
          <w:color w:val="auto"/>
          <w:vertAlign w:val="superscript"/>
        </w:rPr>
      </w:pPr>
    </w:p>
    <w:p>
      <w:pPr>
        <w:ind w:left="183"/>
        <w:spacing w:after="0" w:line="258" w:lineRule="auto"/>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u w:val="single" w:color="auto"/>
            <w:color w:val="0000EE"/>
          </w:rPr>
          <w:t>December 7, 2020</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any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amendments or reports filed to update such description</w:t>
      </w:r>
    </w:p>
    <w:p>
      <w:pPr>
        <w:spacing w:after="0" w:line="20" w:lineRule="exact"/>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3"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8"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20"/>
          <w:szCs w:val="20"/>
          <w:color w:val="auto"/>
          <w:vertAlign w:val="superscript"/>
        </w:rPr>
      </w:pPr>
    </w:p>
    <w:p>
      <w:pPr>
        <w:spacing w:after="0" w:line="400" w:lineRule="exact"/>
        <w:rPr>
          <w:rFonts w:ascii="Times New Roman" w:cs="Times New Roman" w:eastAsia="Times New Roman" w:hAnsi="Times New Roman"/>
          <w:sz w:val="20"/>
          <w:szCs w:val="20"/>
          <w:color w:val="auto"/>
          <w:vertAlign w:val="superscript"/>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815" w:lineRule="exact"/>
        <w:rPr>
          <w:rFonts w:ascii="Times New Roman" w:cs="Times New Roman" w:eastAsia="Times New Roman" w:hAnsi="Times New Roman"/>
          <w:sz w:val="20"/>
          <w:szCs w:val="20"/>
          <w:color w:val="auto"/>
          <w:vertAlign w:val="superscript"/>
        </w:rPr>
      </w:pPr>
    </w:p>
    <w:p>
      <w:pPr>
        <w:sectPr>
          <w:pgSz w:w="11900" w:h="16838" w:orient="portrait"/>
          <w:cols w:equalWidth="0" w:num="3">
            <w:col w:w="4860" w:space="4294967294"/>
            <w:col w:w="2843" w:space="160"/>
            <w:col w:w="1159"/>
          </w:cols>
          <w:pgMar w:left="1440" w:top="98" w:right="1440" w:bottom="1440" w:gutter="0" w:footer="0" w:header="0"/>
          <w:type w:val="continuous"/>
        </w:sectPr>
      </w:pPr>
    </w:p>
    <w:p>
      <w:pPr>
        <w:spacing w:after="0" w:line="105" w:lineRule="exact"/>
        <w:rPr>
          <w:rFonts w:ascii="Times New Roman" w:cs="Times New Roman" w:eastAsia="Times New Roman" w:hAnsi="Times New Roman"/>
          <w:sz w:val="20"/>
          <w:szCs w:val="20"/>
          <w:color w:val="auto"/>
          <w:vertAlign w:val="superscript"/>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78" w:name="page79"/>
    <w:bookmarkEnd w:id="7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309"/>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Filings by UAL</w:t>
            </w:r>
          </w:p>
        </w:tc>
        <w:tc>
          <w:tcPr>
            <w:tcW w:w="3980" w:type="dxa"/>
            <w:vAlign w:val="bottom"/>
            <w:gridSpan w:val="5"/>
          </w:tcPr>
          <w:p>
            <w:pPr>
              <w:ind w:left="9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Date Filed</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8"/>
        </w:trPr>
        <w:tc>
          <w:tcPr>
            <w:tcW w:w="27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Current Report on Form 8-K</w:t>
            </w:r>
          </w:p>
        </w:tc>
        <w:tc>
          <w:tcPr>
            <w:tcW w:w="9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820" w:type="dxa"/>
            <w:vAlign w:val="bottom"/>
            <w:gridSpan w:val="3"/>
          </w:tcPr>
          <w:p>
            <w:pPr>
              <w:spacing w:after="0" w:line="168"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January 27, 2023</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Report on Form 8-K</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5"/>
                <w:szCs w:val="15"/>
                <w:color w:val="0000EE"/>
              </w:rPr>
            </w:pPr>
            <w:hyperlink r:id="rId188">
              <w:r>
                <w:rPr>
                  <w:rFonts w:ascii="Times New Roman" w:cs="Times New Roman" w:eastAsia="Times New Roman" w:hAnsi="Times New Roman"/>
                  <w:sz w:val="15"/>
                  <w:szCs w:val="15"/>
                  <w:color w:val="0000EE"/>
                </w:rPr>
                <w:t>May 30, 2023</w:t>
              </w:r>
            </w:hyperlink>
          </w:p>
        </w:tc>
        <w:tc>
          <w:tcPr>
            <w:tcW w:w="200" w:type="dxa"/>
            <w:vAlign w:val="bottom"/>
            <w:tcBorders>
              <w:top w:val="single" w:sz="8" w:color="0000EE"/>
            </w:tcBorders>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6"/>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Filings by United</w:t>
            </w:r>
          </w:p>
        </w:tc>
        <w:tc>
          <w:tcPr>
            <w:tcW w:w="3980" w:type="dxa"/>
            <w:vAlign w:val="bottom"/>
            <w:gridSpan w:val="5"/>
          </w:tcPr>
          <w:p>
            <w:pPr>
              <w:ind w:left="9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Date Filed</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68"/>
        </w:trPr>
        <w:tc>
          <w:tcPr>
            <w:tcW w:w="27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Current Report on Form 8-K</w:t>
            </w:r>
          </w:p>
        </w:tc>
        <w:tc>
          <w:tcPr>
            <w:tcW w:w="9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820" w:type="dxa"/>
            <w:vAlign w:val="bottom"/>
            <w:gridSpan w:val="3"/>
          </w:tcPr>
          <w:p>
            <w:pPr>
              <w:spacing w:after="0" w:line="168"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June 20, 2023</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Report on Form 8-K</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5"/>
                <w:szCs w:val="15"/>
                <w:color w:val="0000EE"/>
              </w:rPr>
            </w:pPr>
            <w:hyperlink r:id="rId189">
              <w:r>
                <w:rPr>
                  <w:rFonts w:ascii="Times New Roman" w:cs="Times New Roman" w:eastAsia="Times New Roman" w:hAnsi="Times New Roman"/>
                  <w:sz w:val="15"/>
                  <w:szCs w:val="15"/>
                  <w:color w:val="0000EE"/>
                </w:rPr>
                <w:t>June 21, 2023</w:t>
              </w:r>
            </w:hyperlink>
          </w:p>
        </w:tc>
        <w:tc>
          <w:tcPr>
            <w:tcW w:w="1960" w:type="dxa"/>
            <w:vAlign w:val="bottom"/>
            <w:gridSpan w:val="2"/>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w:t>
      </w:r>
    </w:p>
    <w:p>
      <w:pPr>
        <w:spacing w:after="0" w:line="103"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United Airlines Holdings,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United Airlines, Inc.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233 S. Wacker Drive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Chicago, Illinois 60606</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(872) 825-4000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Attention: Corporate Secretary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17"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our counsel, Sidley Austin LLP, Chicago, Illinois and Houston, Texas, will pass upon the validity of the securities offered in this prospectus and any related prospectus supplement. The legality of the securities offered hereby and certain other matters for any underwriters, dealers or agents will be passed upon by counsel as may be specified in the applicable prospectus supplement.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8"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auto"/>
          </w:rPr>
          <w:t xml:space="preserve">The consolidated financial statements of UAL appearing in </w:t>
        </w:r>
        <w:r>
          <w:rPr>
            <w:rFonts w:ascii="Times New Roman" w:cs="Times New Roman" w:eastAsia="Times New Roman" w:hAnsi="Times New Roman"/>
            <w:sz w:val="15"/>
            <w:szCs w:val="15"/>
            <w:u w:val="single" w:color="auto"/>
            <w:color w:val="0000EE"/>
          </w:rPr>
          <w:t>UAL’s Annual Report on Form 10-K for the</w:t>
        </w:r>
      </w:hyperlink>
      <w:r>
        <w:rPr>
          <w:rFonts w:ascii="Times New Roman" w:cs="Times New Roman" w:eastAsia="Times New Roman" w:hAnsi="Times New Roman"/>
          <w:sz w:val="15"/>
          <w:szCs w:val="15"/>
          <w:color w:val="auto"/>
        </w:rPr>
        <w:t xml:space="preserve"> </w:t>
      </w:r>
      <w:hyperlink r:id="rId176">
        <w:r>
          <w:rPr>
            <w:rFonts w:ascii="Times New Roman" w:cs="Times New Roman" w:eastAsia="Times New Roman" w:hAnsi="Times New Roman"/>
            <w:sz w:val="15"/>
            <w:szCs w:val="15"/>
            <w:u w:val="single" w:color="auto"/>
            <w:color w:val="0000EE"/>
          </w:rPr>
          <w:t>year ended December 31,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the financial statement schedule appearing therein) and the</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effectiveness of UAL’s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0" w:lineRule="exact"/>
        <w:rPr>
          <w:sz w:val="20"/>
          <w:szCs w:val="20"/>
          <w:color w:val="auto"/>
        </w:rPr>
      </w:pPr>
    </w:p>
    <w:p>
      <w:pPr>
        <w:ind w:left="1140" w:right="1179" w:firstLine="294"/>
        <w:spacing w:after="0" w:line="250" w:lineRule="auto"/>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auto"/>
          </w:rPr>
          <w:t xml:space="preserve">The consolidated financial statements of United appearing in </w:t>
        </w:r>
        <w:r>
          <w:rPr>
            <w:rFonts w:ascii="Times New Roman" w:cs="Times New Roman" w:eastAsia="Times New Roman" w:hAnsi="Times New Roman"/>
            <w:sz w:val="15"/>
            <w:szCs w:val="15"/>
            <w:u w:val="single" w:color="auto"/>
            <w:color w:val="0000EE"/>
          </w:rPr>
          <w:t>United’s Annual Report on Form 10-K for</w:t>
        </w:r>
      </w:hyperlink>
      <w:r>
        <w:rPr>
          <w:rFonts w:ascii="Times New Roman" w:cs="Times New Roman" w:eastAsia="Times New Roman" w:hAnsi="Times New Roman"/>
          <w:sz w:val="15"/>
          <w:szCs w:val="15"/>
          <w:color w:val="auto"/>
        </w:rPr>
        <w:t xml:space="preserve"> </w:t>
      </w:r>
      <w:hyperlink r:id="rId176">
        <w:r>
          <w:rPr>
            <w:rFonts w:ascii="Times New Roman" w:cs="Times New Roman" w:eastAsia="Times New Roman" w:hAnsi="Times New Roman"/>
            <w:sz w:val="15"/>
            <w:szCs w:val="15"/>
            <w:u w:val="single" w:color="auto"/>
            <w:color w:val="0000EE"/>
          </w:rPr>
          <w:t>the year ended December 31,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(including the financial statement schedule appearing therein), have been</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9" w:name="page80"/>
    <w:bookmarkEnd w:id="79"/>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6905625</wp:posOffset>
            </wp:positionV>
            <wp:extent cx="558419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3195955</wp:posOffset>
            </wp:positionV>
            <wp:extent cx="2804160" cy="581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2804160" cy="581660"/>
                    </a:xfrm>
                    <a:prstGeom prst="rect">
                      <a:avLst/>
                    </a:prstGeom>
                    <a:noFill/>
                  </pic:spPr>
                </pic:pic>
              </a:graphicData>
            </a:graphic>
          </wp:anchor>
        </w:drawing>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lowerRoman"/>
      <w:start w:val="1"/>
    </w:lvl>
    <w:lvl w:ilvl="1">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upperLetter"/>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lowerRoman"/>
      <w:start w:val="3"/>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lowerRoman"/>
      <w:start w:val="4"/>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Roman"/>
      <w:start w:val="2"/>
    </w:lvl>
  </w:abstractNum>
  <w:abstractNum w:abstractNumId="30">
    <w:nsid w:val="684A481A"/>
    <w:multiLevelType w:val="hybridMultilevel"/>
    <w:lvl w:ilvl="0">
      <w:lvlJc w:val="left"/>
      <w:lvlText w:val="(%1)"/>
      <w:numFmt w:val="lowerRoman"/>
      <w:start w:val="4"/>
    </w:lvl>
  </w:abstractNum>
  <w:abstractNum w:abstractNumId="31">
    <w:nsid w:val="579478FE"/>
    <w:multiLevelType w:val="hybridMultilevel"/>
    <w:lvl w:ilvl="0">
      <w:lvlJc w:val="left"/>
      <w:lvlText w:val="(%1)"/>
      <w:numFmt w:val="lowerRoman"/>
      <w:start w:val="2"/>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decimal"/>
      <w:start w:val="2"/>
    </w:lvl>
    <w:lvl w:ilvl="1">
      <w:lvlJc w:val="left"/>
      <w:lvlText w:val="(%2)"/>
      <w:numFmt w:val="lowerLetter"/>
      <w:start w:val="2"/>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35"/>
    </w:lvl>
    <w:lvl w:ilvl="1">
      <w:lvlJc w:val="left"/>
      <w:lvlText w:val="(%2)"/>
      <w:numFmt w:val="lowerLetter"/>
      <w:start w:val="2"/>
    </w:lvl>
  </w:abstractNum>
  <w:abstractNum w:abstractNumId="45">
    <w:nsid w:val="39386575"/>
    <w:multiLevelType w:val="hybridMultilevel"/>
    <w:lvl w:ilvl="0">
      <w:lvlJc w:val="left"/>
      <w:lvlText w:val="(%1)"/>
      <w:numFmt w:val="lowerRoman"/>
      <w:start w:val="3"/>
    </w:lvl>
  </w:abstractNum>
  <w:abstractNum w:abstractNumId="46">
    <w:nsid w:val="1CF10FD8"/>
    <w:multiLevelType w:val="hybridMultilevel"/>
    <w:lvl w:ilvl="0">
      <w:lvlJc w:val="left"/>
      <w:lvlText w:val="(%1)"/>
      <w:numFmt w:val="lowerRoman"/>
      <w:start w:val="3"/>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7"/>
    </w:lvl>
  </w:abstractNum>
  <w:abstractNum w:abstractNumId="50">
    <w:nsid w:val="354FE9F9"/>
    <w:multiLevelType w:val="hybridMultilevel"/>
    <w:lvl w:ilvl="0">
      <w:lvlJc w:val="left"/>
      <w:lvlText w:val="(%1)"/>
      <w:numFmt w:val="decimal"/>
      <w:start w:val="16"/>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2"/>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lowerLetter"/>
      <w:start w:val="15"/>
    </w:lvl>
  </w:abstractNum>
  <w:abstractNum w:abstractNumId="62">
    <w:nsid w:val="2F305DEF"/>
    <w:multiLevelType w:val="hybridMultilevel"/>
    <w:lvl w:ilvl="0">
      <w:lvlJc w:val="left"/>
      <w:lvlText w:val="(%1)"/>
      <w:numFmt w:val="lowerLetter"/>
      <w:start w:val="4"/>
    </w:lvl>
  </w:abstractNum>
  <w:abstractNum w:abstractNumId="63">
    <w:nsid w:val="25A70BF7"/>
    <w:multiLevelType w:val="hybridMultilevel"/>
    <w:lvl w:ilvl="0">
      <w:lvlJc w:val="left"/>
      <w:lvlText w:val="(%1)"/>
      <w:numFmt w:val="lowerLetter"/>
      <w:start w:val="10"/>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86"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jpeg"/><Relationship Id="rId114" Type="http://schemas.openxmlformats.org/officeDocument/2006/relationships/hyperlink" Target="https://www.sec.gov/ix?doc=/Archives/edgar/data/100517/000010051725000046/ual-20241231.htm" TargetMode="External"/><Relationship Id="rId120" Type="http://schemas.openxmlformats.org/officeDocument/2006/relationships/hyperlink" Target="https://www.sec.gov/ix?doc=/Archives/edgar/data/100517/000010051725000091/ual-20250331.htm" TargetMode="External"/><Relationship Id="rId121" Type="http://schemas.openxmlformats.org/officeDocument/2006/relationships/hyperlink" Target="https://www.sec.gov/ix?doc=/Archives/edgar/data/100517/000010051725000147/ual-20250630.htm" TargetMode="External"/><Relationship Id="rId122" Type="http://schemas.openxmlformats.org/officeDocument/2006/relationships/hyperlink" Target="https://www.sec.gov/ix?doc=/Archives/edgar/data/100517/000010051725000193/ual-20250930.htm" TargetMode="External"/><Relationship Id="rId123" Type="http://schemas.openxmlformats.org/officeDocument/2006/relationships/hyperlink" Target="https://www.sec.gov/ix?doc=/Archives/edgar/data/100517/000010051725000140/ual-20250707.htm" TargetMode="External"/><Relationship Id="rId124" Type="http://schemas.openxmlformats.org/officeDocument/2006/relationships/hyperlink" Target="https://www.sec.gov/ix?doc=/Archives/edgar/data/100517/000110465926009237/tm263646d5_8k.htm" TargetMode="External"/><Relationship Id="rId125" Type="http://schemas.openxmlformats.org/officeDocument/2006/relationships/hyperlink" Target="https://www.sec.gov/ix?doc=/Archives/edgar/data/100517/000110465925004520/tm253568d1_8k.htm" TargetMode="External"/><Relationship Id="rId126" Type="http://schemas.openxmlformats.org/officeDocument/2006/relationships/hyperlink" Target="https://www.sec.gov/ix?doc=/Archives/edgar/data/100517/000110465925053607/tm2516249d1_8k.htm" TargetMode="External"/><Relationship Id="rId127" Type="http://schemas.openxmlformats.org/officeDocument/2006/relationships/hyperlink" Target="https://www.sec.gov/ix?doc=/Archives/edgar/data/100517/000110465925053608/tm2516249d2_8ka.htm" TargetMode="External"/><Relationship Id="rId176" Type="http://schemas.openxmlformats.org/officeDocument/2006/relationships/hyperlink" Target="https://www.sec.gov/ix?doc=/Archives/edgar/data/100517/000010051723000048/ual-20221231.htm" TargetMode="External"/><Relationship Id="rId177" Type="http://schemas.openxmlformats.org/officeDocument/2006/relationships/hyperlink" Target="https://www.sec.gov/ix?doc=/Archives/edgar/data/100517/000010051723000116/ual-20230331.htm" TargetMode="External"/><Relationship Id="rId178" Type="http://schemas.openxmlformats.org/officeDocument/2006/relationships/hyperlink" Target="https://www.sec.gov/ix?doc=/Archives/edgar/data/100517/000010051723000153/ual-20230630.htm" TargetMode="External"/><Relationship Id="rId179" Type="http://schemas.openxmlformats.org/officeDocument/2006/relationships/hyperlink" Target="https://www.sec.gov/ix?doc=/Archives/edgar/data/100517/000010051723000186/ual-20230930.htm" TargetMode="External"/><Relationship Id="rId180" Type="http://schemas.openxmlformats.org/officeDocument/2006/relationships/hyperlink" Target="https://www.sec.gov/ix?doc=/Archives/edgar/data/100517/000110465923066339/tm2317201d1_8k.htm" TargetMode="External"/><Relationship Id="rId181" Type="http://schemas.openxmlformats.org/officeDocument/2006/relationships/hyperlink" Target="https://www.sec.gov/ix?doc=/Archives/edgar/data/100517/000110465923072759/tm2319112d1_8k.htm" TargetMode="External"/><Relationship Id="rId182" Type="http://schemas.openxmlformats.org/officeDocument/2006/relationships/hyperlink" Target="https://www.sec.gov/ix?doc=/Archives/edgar/data/100517/000110465923103019/tm2326690d1_8k.htm" TargetMode="External"/><Relationship Id="rId183" Type="http://schemas.openxmlformats.org/officeDocument/2006/relationships/hyperlink" Target="https://www.sec.gov/ix?doc=/Archives/edgar/data/100517/000010051723000175/ual-20230928.htm" TargetMode="External"/><Relationship Id="rId184" Type="http://schemas.openxmlformats.org/officeDocument/2006/relationships/hyperlink" Target="https://www.sec.gov/Archives/edgar/data/100517/000110465918055191/a18-22014_18a12b.htm" TargetMode="External"/><Relationship Id="rId185" Type="http://schemas.openxmlformats.org/officeDocument/2006/relationships/hyperlink" Target="https://www.sec.gov/Archives/edgar/data/100517/000110465920132578/tm2037699d1_8a12b.htm" TargetMode="External"/><Relationship Id="rId187" Type="http://schemas.openxmlformats.org/officeDocument/2006/relationships/hyperlink" Target="https://www.sec.gov/ix?doc=/Archives/edgar/data/100517/000010051723000018/ual-20230124.htm" TargetMode="External"/><Relationship Id="rId188" Type="http://schemas.openxmlformats.org/officeDocument/2006/relationships/hyperlink" Target="https://www.sec.gov/ix?doc=/Archives/edgar/data/100517/000110465923065702/tm2317178d1_8k.htm" TargetMode="External"/><Relationship Id="rId189" Type="http://schemas.openxmlformats.org/officeDocument/2006/relationships/hyperlink" Target="https://www.sec.gov/ix?doc=/Archives/edgar/data/319687/000110465923073385/tm2316120d1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2026-02-03T07:22:01Z</dcterms:created>
  <dcterms:modified xsi:type="dcterms:W3CDTF">2026-02-03T07:22:01Z</dcterms:modified>
</cp:coreProperties>
</file>