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21, 2026</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21, 2026, United Airlines Holdings, Inc. ("UAL"), the holding company whose subsidiary is United Airlines, Inc. ("United," and together with UAL, the "Company"), issued a press release (the "Earnings Press Release") announcing the financial results of the Company for the first quarter of 2026. A copy of the Earnings Press Release is furnished pursuant to this Item 2.02 as Exhibit 99.1 to this Current Report on Form 8-K and incorporated by reference herein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21, 2026,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United Airlines Holdings, Inc. dated April 21, 2026</w:t>
            </w:r>
          </w:p>
        </w:tc>
      </w:tr>
      <w:tr>
        <w:trPr>
          <w:trHeight w:val="20"/>
        </w:trPr>
        <w:tc>
          <w:tcPr>
            <w:tcW w:w="238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Investor Update issued by United Airlines Holdings, Inc. dated April 21, 2026</w:t>
            </w:r>
          </w:p>
        </w:tc>
        <w:tc>
          <w:tcPr>
            <w:tcW w:w="140" w:type="dxa"/>
            <w:vAlign w:val="bottom"/>
          </w:tcPr>
          <w:p>
            <w:pPr>
              <w:spacing w:after="0"/>
              <w:rPr>
                <w:sz w:val="22"/>
                <w:szCs w:val="22"/>
                <w:color w:val="auto"/>
              </w:rPr>
            </w:pPr>
          </w:p>
        </w:tc>
      </w:tr>
      <w:tr>
        <w:trPr>
          <w:trHeight w:val="34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ectPr>
          <w:pgSz w:w="11900" w:h="16838" w:orient="portrait"/>
          <w:cols w:equalWidth="0" w:num="1">
            <w:col w:w="11240"/>
          </w:cols>
          <w:pgMar w:left="320" w:top="1440"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70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-137160</wp:posOffset>
            </wp:positionV>
            <wp:extent cx="183451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United Airlines</w:t>
      </w:r>
    </w:p>
    <w:p>
      <w:pPr>
        <w:ind w:left="20"/>
        <w:spacing w:after="0" w:line="211" w:lineRule="auto"/>
        <w:rPr>
          <w:sz w:val="20"/>
          <w:szCs w:val="20"/>
          <w:color w:val="auto"/>
        </w:rPr>
      </w:pPr>
      <w:r>
        <w:rPr>
          <w:rFonts w:ascii="Times New Roman" w:cs="Times New Roman" w:eastAsia="Times New Roman" w:hAnsi="Times New Roman"/>
          <w:sz w:val="20"/>
          <w:szCs w:val="20"/>
          <w:b w:val="1"/>
          <w:bCs w:val="1"/>
          <w:color w:val="auto"/>
        </w:rPr>
        <w:t>Worldwide Media Relations</w:t>
      </w:r>
    </w:p>
    <w:p>
      <w:pPr>
        <w:ind w:left="20"/>
        <w:spacing w:after="0" w:line="211" w:lineRule="auto"/>
        <w:rPr>
          <w:sz w:val="20"/>
          <w:szCs w:val="20"/>
          <w:color w:val="auto"/>
        </w:rPr>
      </w:pPr>
      <w:r>
        <w:rPr>
          <w:rFonts w:ascii="Times New Roman" w:cs="Times New Roman" w:eastAsia="Times New Roman" w:hAnsi="Times New Roman"/>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media.relations@united.com</w:t>
      </w:r>
    </w:p>
    <w:p>
      <w:pPr>
        <w:spacing w:after="0" w:line="281" w:lineRule="exact"/>
        <w:rPr>
          <w:sz w:val="20"/>
          <w:szCs w:val="20"/>
          <w:color w:val="auto"/>
        </w:rPr>
      </w:pPr>
    </w:p>
    <w:p>
      <w:pPr>
        <w:ind w:left="540" w:right="480" w:hanging="42"/>
        <w:spacing w:after="0" w:line="298" w:lineRule="auto"/>
        <w:rPr>
          <w:sz w:val="20"/>
          <w:szCs w:val="20"/>
          <w:color w:val="auto"/>
        </w:rPr>
      </w:pPr>
      <w:r>
        <w:rPr>
          <w:rFonts w:ascii="Arial" w:cs="Arial" w:eastAsia="Arial" w:hAnsi="Arial"/>
          <w:sz w:val="32"/>
          <w:szCs w:val="32"/>
          <w:b w:val="1"/>
          <w:bCs w:val="1"/>
          <w:color w:val="auto"/>
        </w:rPr>
        <w:t>United's Long-Term Strategy Remains Focused on Winning Brand-Loyal Customers, Boosted by Q1 Growth in Earnings and Margins</w:t>
      </w:r>
    </w:p>
    <w:p>
      <w:pPr>
        <w:spacing w:after="0" w:line="202" w:lineRule="exact"/>
        <w:rPr>
          <w:sz w:val="20"/>
          <w:szCs w:val="20"/>
          <w:color w:val="auto"/>
        </w:rPr>
      </w:pPr>
    </w:p>
    <w:p>
      <w:pPr>
        <w:jc w:val="center"/>
        <w:ind w:left="340" w:right="100"/>
        <w:spacing w:after="0" w:line="221" w:lineRule="auto"/>
        <w:rPr>
          <w:sz w:val="20"/>
          <w:szCs w:val="20"/>
          <w:color w:val="auto"/>
        </w:rPr>
      </w:pPr>
      <w:r>
        <w:rPr>
          <w:rFonts w:ascii="Arial" w:cs="Arial" w:eastAsia="Arial" w:hAnsi="Arial"/>
          <w:sz w:val="20"/>
          <w:szCs w:val="20"/>
          <w:i w:val="1"/>
          <w:iCs w:val="1"/>
          <w:color w:val="auto"/>
        </w:rPr>
        <w:t>Q1 diluted earnings per share of $2.14 up 85% year-over-year; Q1 adjusted diluted earnings per share</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of $1.19 up 31% year-over-year and within initial guidance of $1.00 to $1.50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Total operating revenue up 10.6% year-over-year; Total revenue per available seat mile up 6.9% year-over-year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Operation delivered best Q1 on-time departure rate among eight largest U.S. carriers</w:t>
      </w:r>
    </w:p>
    <w:p>
      <w:pPr>
        <w:spacing w:after="0" w:line="229" w:lineRule="exact"/>
        <w:rPr>
          <w:sz w:val="20"/>
          <w:szCs w:val="20"/>
          <w:color w:val="auto"/>
        </w:rPr>
      </w:pPr>
    </w:p>
    <w:p>
      <w:pPr>
        <w:jc w:val="center"/>
        <w:spacing w:after="0" w:line="271" w:lineRule="auto"/>
        <w:rPr>
          <w:sz w:val="20"/>
          <w:szCs w:val="20"/>
          <w:color w:val="auto"/>
        </w:rPr>
      </w:pPr>
      <w:r>
        <w:rPr>
          <w:rFonts w:ascii="Arial" w:cs="Arial" w:eastAsia="Arial" w:hAnsi="Arial"/>
          <w:sz w:val="20"/>
          <w:szCs w:val="20"/>
          <w:i w:val="1"/>
          <w:iCs w:val="1"/>
          <w:color w:val="auto"/>
        </w:rPr>
        <w:t>Plan to reduce 5 points of planned capacity for the rest of the year and expect capacity in Q3 and Q4 to be flat to up approximately 2% year-over-year</w:t>
      </w:r>
    </w:p>
    <w:p>
      <w:pPr>
        <w:spacing w:after="0" w:line="169" w:lineRule="exact"/>
        <w:rPr>
          <w:sz w:val="20"/>
          <w:szCs w:val="20"/>
          <w:color w:val="auto"/>
        </w:rPr>
      </w:pPr>
    </w:p>
    <w:p>
      <w:pPr>
        <w:jc w:val="center"/>
        <w:spacing w:after="0" w:line="271" w:lineRule="auto"/>
        <w:rPr>
          <w:sz w:val="20"/>
          <w:szCs w:val="20"/>
          <w:color w:val="auto"/>
        </w:rPr>
      </w:pPr>
      <w:r>
        <w:rPr>
          <w:rFonts w:ascii="Arial" w:cs="Arial" w:eastAsia="Arial" w:hAnsi="Arial"/>
          <w:sz w:val="20"/>
          <w:szCs w:val="20"/>
          <w:i w:val="1"/>
          <w:iCs w:val="1"/>
          <w:color w:val="auto"/>
        </w:rPr>
        <w:t>United remains focused on the long term with announcement of recent initiatives including further premium and economy cabin segmentation and enhancements to the MileagePlus program</w:t>
      </w:r>
    </w:p>
    <w:p>
      <w:pPr>
        <w:spacing w:after="0" w:line="200" w:lineRule="exact"/>
        <w:rPr>
          <w:sz w:val="20"/>
          <w:szCs w:val="20"/>
          <w:color w:val="auto"/>
        </w:rPr>
      </w:pPr>
    </w:p>
    <w:p>
      <w:pPr>
        <w:spacing w:after="0" w:line="264" w:lineRule="exact"/>
        <w:rPr>
          <w:sz w:val="20"/>
          <w:szCs w:val="20"/>
          <w:color w:val="auto"/>
        </w:rPr>
      </w:pPr>
    </w:p>
    <w:p>
      <w:pPr>
        <w:ind w:right="100" w:firstLine="648"/>
        <w:spacing w:after="0" w:line="334" w:lineRule="auto"/>
        <w:rPr>
          <w:sz w:val="20"/>
          <w:szCs w:val="20"/>
          <w:color w:val="auto"/>
        </w:rPr>
      </w:pPr>
      <w:r>
        <w:rPr>
          <w:rFonts w:ascii="Arial" w:cs="Arial" w:eastAsia="Arial" w:hAnsi="Arial"/>
          <w:sz w:val="20"/>
          <w:szCs w:val="20"/>
          <w:b w:val="1"/>
          <w:bCs w:val="1"/>
          <w:color w:val="auto"/>
        </w:rPr>
        <w:t xml:space="preserve">CHICAGO, April 21, 2026 </w:t>
      </w:r>
      <w:r>
        <w:rPr>
          <w:rFonts w:ascii="Arial" w:cs="Arial" w:eastAsia="Arial" w:hAnsi="Arial"/>
          <w:sz w:val="20"/>
          <w:szCs w:val="20"/>
          <w:color w:val="auto"/>
        </w:rPr>
        <w:t>– United Airlines (UAL) today reported a first-quarter profit, delivering first-quarter pre-tax</w:t>
      </w:r>
      <w:r>
        <w:rPr>
          <w:rFonts w:ascii="Arial" w:cs="Arial" w:eastAsia="Arial" w:hAnsi="Arial"/>
          <w:sz w:val="20"/>
          <w:szCs w:val="20"/>
          <w:b w:val="1"/>
          <w:bCs w:val="1"/>
          <w:color w:val="auto"/>
        </w:rPr>
        <w:t xml:space="preserve"> </w:t>
      </w:r>
      <w:r>
        <w:rPr>
          <w:rFonts w:ascii="Arial" w:cs="Arial" w:eastAsia="Arial" w:hAnsi="Arial"/>
          <w:sz w:val="20"/>
          <w:szCs w:val="20"/>
          <w:color w:val="auto"/>
        </w:rPr>
        <w:t>earnings of $0.9 billion, with a pre-tax margin of 6.0%, up 2.3 points year-over-year. United delivered adjusted pre-tax earnings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$0.5 billion, with an adjusted pre-tax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3.4%, up 0.4 points year-over-year.</w:t>
      </w:r>
    </w:p>
    <w:p>
      <w:pPr>
        <w:spacing w:after="0" w:line="1" w:lineRule="exact"/>
        <w:rPr>
          <w:sz w:val="20"/>
          <w:szCs w:val="20"/>
          <w:color w:val="auto"/>
        </w:rPr>
      </w:pPr>
    </w:p>
    <w:p>
      <w:pPr>
        <w:ind w:right="100" w:firstLine="648"/>
        <w:spacing w:after="0" w:line="375" w:lineRule="auto"/>
        <w:rPr>
          <w:sz w:val="20"/>
          <w:szCs w:val="20"/>
          <w:color w:val="auto"/>
        </w:rPr>
      </w:pPr>
      <w:r>
        <w:rPr>
          <w:rFonts w:ascii="Arial" w:cs="Arial" w:eastAsia="Arial" w:hAnsi="Arial"/>
          <w:sz w:val="19"/>
          <w:szCs w:val="19"/>
          <w:color w:val="auto"/>
        </w:rPr>
        <w:t>"These are results our employees can be proud of, and they show the resilience of our long-term strategy, even in the face of escalating fuel expense," said United CEO Scott Kirby. "Our strong financial position and success in winning brand-loyal customers enabled United to quickly make tactical adjustments to higher fuel prices while maintaining our long-term focus."</w:t>
      </w:r>
    </w:p>
    <w:p>
      <w:pPr>
        <w:spacing w:after="0" w:line="2" w:lineRule="exact"/>
        <w:rPr>
          <w:sz w:val="20"/>
          <w:szCs w:val="20"/>
          <w:color w:val="auto"/>
        </w:rPr>
      </w:pPr>
    </w:p>
    <w:p>
      <w:pPr>
        <w:ind w:right="20" w:firstLine="648"/>
        <w:spacing w:after="0" w:line="361" w:lineRule="auto"/>
        <w:rPr>
          <w:sz w:val="20"/>
          <w:szCs w:val="20"/>
          <w:color w:val="auto"/>
        </w:rPr>
      </w:pPr>
      <w:r>
        <w:rPr>
          <w:rFonts w:ascii="Arial" w:cs="Arial" w:eastAsia="Arial" w:hAnsi="Arial"/>
          <w:sz w:val="20"/>
          <w:szCs w:val="20"/>
          <w:color w:val="auto"/>
        </w:rPr>
        <w:t>"Moments of uncertainty for the airline industry may also create opportunity for United," Kirby said. "We have demonstrated quarter after quarter that we are built to withstand disruptions, and this moment is no different. We'll stay nimble in the short term while continuing to grow the airline and invest in our customers, product and people."</w:t>
      </w:r>
    </w:p>
    <w:p>
      <w:pPr>
        <w:spacing w:after="0" w:line="2" w:lineRule="exact"/>
        <w:rPr>
          <w:sz w:val="20"/>
          <w:szCs w:val="20"/>
          <w:color w:val="auto"/>
        </w:rPr>
      </w:pPr>
    </w:p>
    <w:p>
      <w:pPr>
        <w:ind w:right="200" w:firstLine="648"/>
        <w:spacing w:after="0" w:line="367" w:lineRule="auto"/>
        <w:rPr>
          <w:sz w:val="20"/>
          <w:szCs w:val="20"/>
          <w:color w:val="auto"/>
        </w:rPr>
      </w:pPr>
      <w:r>
        <w:rPr>
          <w:rFonts w:ascii="Arial" w:cs="Arial" w:eastAsia="Arial" w:hAnsi="Arial"/>
          <w:sz w:val="20"/>
          <w:szCs w:val="20"/>
          <w:color w:val="auto"/>
        </w:rPr>
        <w:t>United delivered strong first-quarter results despite challenges, including a $340 million increase in fuel expense compared to the first quarter of 2025. United's capacity and revenue initiatives are intended to recapture this increase over the long term while maintaining the offerings that are winning brand-loyal customers. United's diverse revenue streams remained resilient, including premium revenue up 14% compared to the first quarter of 2025, loyalty revenue up 13%, and revenue from Basic Economy up 7%. Business revenue also remained strong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0" w:lineRule="exact"/>
        <w:rPr>
          <w:sz w:val="20"/>
          <w:szCs w:val="20"/>
          <w:color w:val="auto"/>
        </w:rPr>
      </w:pPr>
    </w:p>
    <w:p>
      <w:pPr>
        <w:ind w:left="100" w:hanging="92"/>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For additional information about the non-GAAP financial measures used in this press release, see "Non-GAAP Financial Information" below.</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Announces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0"/>
        <w:spacing w:after="0" w:line="319" w:lineRule="auto"/>
        <w:rPr>
          <w:sz w:val="20"/>
          <w:szCs w:val="20"/>
          <w:color w:val="auto"/>
        </w:rPr>
      </w:pPr>
      <w:r>
        <w:rPr>
          <w:rFonts w:ascii="Arial" w:cs="Arial" w:eastAsia="Arial" w:hAnsi="Arial"/>
          <w:sz w:val="20"/>
          <w:szCs w:val="20"/>
          <w:color w:val="auto"/>
        </w:rPr>
        <w:t>up 14% for the first quarter. The first quarter was United's highest-revenue first quarter ever, with positive PRASM growth in every region</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1" w:lineRule="exact"/>
        <w:rPr>
          <w:sz w:val="20"/>
          <w:szCs w:val="20"/>
          <w:color w:val="auto"/>
        </w:rPr>
      </w:pPr>
    </w:p>
    <w:p>
      <w:pPr>
        <w:ind w:right="20" w:firstLine="648"/>
        <w:spacing w:after="0" w:line="378" w:lineRule="auto"/>
        <w:rPr>
          <w:sz w:val="20"/>
          <w:szCs w:val="20"/>
          <w:color w:val="auto"/>
        </w:rPr>
      </w:pPr>
      <w:r>
        <w:rPr>
          <w:rFonts w:ascii="Arial" w:cs="Arial" w:eastAsia="Arial" w:hAnsi="Arial"/>
          <w:sz w:val="19"/>
          <w:szCs w:val="19"/>
          <w:color w:val="auto"/>
        </w:rPr>
        <w:t>Oil prices remain volatile and elevated versus the start of the year. United has already begun adjusting its schedule for the rest of 2026 to account for higher fuel prices with an expected 5-point capacity reduction versus its original plan. As a result, the Company expects capacity in the third and fourth quarters of 2026 to be flat to up approximately 2% year-over-year. United will continue to be nimble with capacity, with additional reductions or restored flying as appropriate to meet anticipated demand.</w:t>
      </w:r>
    </w:p>
    <w:p>
      <w:pPr>
        <w:spacing w:after="0" w:line="1" w:lineRule="exact"/>
        <w:rPr>
          <w:sz w:val="20"/>
          <w:szCs w:val="20"/>
          <w:color w:val="auto"/>
        </w:rPr>
      </w:pPr>
    </w:p>
    <w:p>
      <w:pPr>
        <w:ind w:firstLine="648"/>
        <w:spacing w:after="0" w:line="332" w:lineRule="exact"/>
        <w:rPr>
          <w:sz w:val="20"/>
          <w:szCs w:val="20"/>
          <w:color w:val="auto"/>
        </w:rPr>
      </w:pPr>
      <w:r>
        <w:rPr>
          <w:rFonts w:ascii="Arial" w:cs="Arial" w:eastAsia="Arial" w:hAnsi="Arial"/>
          <w:sz w:val="20"/>
          <w:szCs w:val="20"/>
          <w:color w:val="auto"/>
        </w:rPr>
        <w:t>United expects to take delivery of more than 250 new aircraft by April 2028, and customers are benefiting from United innovations throughout every cabin. The airline announced several industry-leading customer enhancements during the quarter, including its planned "Coastliner" Airbus A321neo, the "Born to Explore" Airbus A321XLR, the new CRJ450 with its spacious United First cabin, and the United Relax Row</w:t>
      </w:r>
      <w:r>
        <w:rPr>
          <w:rFonts w:ascii="MS PGothic" w:cs="MS PGothic" w:eastAsia="MS PGothic" w:hAnsi="MS PGothic"/>
          <w:sz w:val="20"/>
          <w:szCs w:val="20"/>
          <w:color w:val="auto"/>
        </w:rPr>
        <w:t>℠</w:t>
      </w:r>
      <w:r>
        <w:rPr>
          <w:rFonts w:ascii="Arial" w:cs="Arial" w:eastAsia="Arial" w:hAnsi="Arial"/>
          <w:sz w:val="20"/>
          <w:szCs w:val="20"/>
          <w:color w:val="auto"/>
        </w:rPr>
        <w:t xml:space="preserve"> across a row of United Economy®-class seats. Starlink installations are accelerating and United expects to bring fast, free Wi-Fi for MileagePlus® members to the whole fleet by the end of 2027. On April 1, United announced a new way to monitor TSA wait times in its mobile app. Nearly 1.6 million customers used this feature in the first two weeks after rollout.</w:t>
      </w:r>
    </w:p>
    <w:p>
      <w:pPr>
        <w:spacing w:after="0" w:line="96" w:lineRule="exact"/>
        <w:rPr>
          <w:sz w:val="20"/>
          <w:szCs w:val="20"/>
          <w:color w:val="auto"/>
        </w:rPr>
      </w:pPr>
    </w:p>
    <w:p>
      <w:pPr>
        <w:ind w:firstLine="648"/>
        <w:spacing w:after="0" w:line="359" w:lineRule="auto"/>
        <w:rPr>
          <w:sz w:val="20"/>
          <w:szCs w:val="20"/>
          <w:color w:val="auto"/>
        </w:rPr>
      </w:pPr>
      <w:r>
        <w:rPr>
          <w:rFonts w:ascii="Arial" w:cs="Arial" w:eastAsia="Arial" w:hAnsi="Arial"/>
          <w:sz w:val="20"/>
          <w:szCs w:val="20"/>
          <w:color w:val="auto"/>
        </w:rPr>
        <w:t>United carried the most passengers in a first quarter in its history and achieved the best on-time departure rate for the quarter among the eight largest U.S. carriers. March was the fourth month in a row United achieved the best on-time departure rate among U.S. carriers. For the quarter, United's per-seat cancellation rate averaged 44% lower than the next two largest U.S. carriers by available seat miles.</w:t>
      </w:r>
    </w:p>
    <w:p>
      <w:pPr>
        <w:spacing w:after="0" w:line="1" w:lineRule="exact"/>
        <w:rPr>
          <w:sz w:val="20"/>
          <w:szCs w:val="20"/>
          <w:color w:val="auto"/>
        </w:rPr>
      </w:pPr>
    </w:p>
    <w:p>
      <w:pPr>
        <w:ind w:right="60" w:firstLine="648"/>
        <w:spacing w:after="0" w:line="366" w:lineRule="auto"/>
        <w:rPr>
          <w:sz w:val="20"/>
          <w:szCs w:val="20"/>
          <w:color w:val="auto"/>
        </w:rPr>
      </w:pPr>
      <w:r>
        <w:rPr>
          <w:rFonts w:ascii="Arial" w:cs="Arial" w:eastAsia="Arial" w:hAnsi="Arial"/>
          <w:sz w:val="20"/>
          <w:szCs w:val="20"/>
          <w:color w:val="auto"/>
        </w:rPr>
        <w:t>United continued to strengthen its balance sheet as it works toward its goal of investment grade credit ratings by paying down $3.1 billion in debt during the quarter. Additionally, for the first time since 2019, United returned to the unsecured market and successfully raised $2 billion across two unsecured bond issuances — exceeding initial expectations. At the end of the first quarter, net leverage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2.0x for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0" w:lineRule="exact"/>
        <w:rPr>
          <w:sz w:val="20"/>
          <w:szCs w:val="20"/>
          <w:color w:val="auto"/>
        </w:rPr>
      </w:pPr>
    </w:p>
    <w:p>
      <w:pPr>
        <w:ind w:left="100" w:hanging="92"/>
        <w:spacing w:after="0"/>
        <w:tabs>
          <w:tab w:leader="none" w:pos="10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Regions include Domestic, Atlantic, Pacific, and Latin America. Details can be found in the "Passenger Revenue Information and Statistics" table below.</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87" w:lineRule="exact"/>
        <w:rPr>
          <w:rFonts w:ascii="Arial" w:cs="Arial" w:eastAsia="Arial" w:hAnsi="Arial"/>
          <w:sz w:val="19"/>
          <w:szCs w:val="19"/>
          <w:color w:val="auto"/>
          <w:vertAlign w:val="superscript"/>
        </w:rPr>
      </w:pPr>
    </w:p>
    <w:p>
      <w:pPr>
        <w:ind w:left="5580"/>
        <w:spacing w:after="0"/>
        <w:rPr>
          <w:rFonts w:ascii="Arial" w:cs="Arial" w:eastAsia="Arial" w:hAnsi="Arial"/>
          <w:sz w:val="19"/>
          <w:szCs w:val="19"/>
          <w:color w:val="auto"/>
          <w:vertAlign w:val="superscript"/>
        </w:rPr>
      </w:pPr>
      <w:r>
        <w:rPr>
          <w:rFonts w:ascii="Arial" w:cs="Arial" w:eastAsia="Arial" w:hAnsi="Arial"/>
          <w:sz w:val="16"/>
          <w:szCs w:val="16"/>
          <w:color w:val="auto"/>
        </w:rPr>
        <w:t>2</w:t>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First-Quarter Financial Results</w:t>
      </w:r>
    </w:p>
    <w:p>
      <w:pPr>
        <w:spacing w:after="0" w:line="204"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Capacity up 3.4% compared to first-quarter 2025.</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operating revenue of $14.6 billion, up 10.6% compared to first-quarter 2025.</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TRASM up 6.9% compared to first-quarter 2025.</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CASM up 4.4%, and CASM-ex</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up 5.9%, compared to first-quarter 2025.</w:t>
      </w:r>
    </w:p>
    <w:p>
      <w:pPr>
        <w:spacing w:after="0" w:line="56" w:lineRule="exact"/>
        <w:rPr>
          <w:rFonts w:ascii="Arial" w:cs="Arial" w:eastAsia="Arial" w:hAnsi="Arial"/>
          <w:sz w:val="20"/>
          <w:szCs w:val="20"/>
          <w:color w:val="auto"/>
        </w:rPr>
      </w:pPr>
    </w:p>
    <w:p>
      <w:pPr>
        <w:ind w:left="660" w:hanging="328"/>
        <w:spacing w:after="0" w:line="28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Pre-tax earnings of $0.9 billion, with a pre-tax margin of 6.0%; adjusted pre-tax earnings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$0.5 billion, with an adjusted pre-tax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3.4%.</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income of $0.7 billion; adjusted net income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$0.4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Diluted earnings per share of $2.14; adjusted diluted earnings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$1.19.</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Average fuel price per gallon of $2.78.</w:t>
      </w:r>
    </w:p>
    <w:p>
      <w:pPr>
        <w:spacing w:after="0" w:line="11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Generated $4.8 billion of operating cash flow.</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Generated $2.9 billion of free cash flow</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63"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Ending available liquidity</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$17.2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debt, finance lease obligations and other financial liabilities of $24.2 billion at quarter end.</w:t>
      </w:r>
    </w:p>
    <w:p>
      <w:pPr>
        <w:spacing w:after="0" w:line="11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Trailing twelve months net leverage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2.0x.</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Repurchased approximately $27 million of shares in the first quarter 2026.</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Key Highlights</w:t>
      </w:r>
    </w:p>
    <w:p>
      <w:pPr>
        <w:spacing w:after="0" w:line="204" w:lineRule="exact"/>
        <w:rPr>
          <w:sz w:val="20"/>
          <w:szCs w:val="20"/>
          <w:color w:val="auto"/>
        </w:rPr>
      </w:pPr>
    </w:p>
    <w:p>
      <w:pPr>
        <w:ind w:left="660" w:right="2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Unveiled United Relax Row, a set of United Economy seats that transform into a couch for long-haul international flights. United will be the first North American airline to offer this exclusive design.</w:t>
      </w:r>
    </w:p>
    <w:p>
      <w:pPr>
        <w:ind w:left="66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Announced the planned introduction of the United A321neo “Coastliner” and CRJ-450 in the second half of 2026, as part of the anticipated delivery of more than 250 new aircraft by April 2028.</w:t>
      </w:r>
    </w:p>
    <w:p>
      <w:pPr>
        <w:ind w:left="660" w:right="50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Completed Starlink Wi-Fi installations on a total of 327 dual-class United Express aircraft, with Starlink installations expected fleet-wide by the end of 2027.</w:t>
      </w:r>
    </w:p>
    <w:p>
      <w:pPr>
        <w:ind w:left="660" w:right="8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Reached a tentative agreement with the Association of Flight Attendants; if ratified, United's 30,000 flight attendants will receive industry-leading wages, better scheduling and other quality-of-life improvements.</w:t>
      </w:r>
    </w:p>
    <w:p>
      <w:pPr>
        <w:ind w:left="660" w:right="200" w:hanging="328"/>
        <w:spacing w:after="0" w:line="398"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Enhanced miles earnings for United MileagePlus primary cardholders, offering up to twice as many miles per dollar for United flights than non-cardholders, and at least 10% off award tickets and access to special inventory.</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Customer Experience</w:t>
      </w:r>
    </w:p>
    <w:p>
      <w:pPr>
        <w:spacing w:after="0" w:line="204" w:lineRule="exact"/>
        <w:rPr>
          <w:sz w:val="20"/>
          <w:szCs w:val="20"/>
          <w:color w:val="auto"/>
        </w:rPr>
      </w:pPr>
    </w:p>
    <w:p>
      <w:pPr>
        <w:ind w:left="660" w:right="100" w:hanging="328"/>
        <w:spacing w:after="0" w:line="375"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Achieved the best first-quarter customer satisfaction scores for on-time customers as measured by the Net Promoter Score, including categories such as inflight entertainment, gate, boarding and security. On April 1, United unveiled TSA wait times within the United mobile app. Nearly 1.6 million customers used this feature in the first two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0" w:lineRule="exact"/>
        <w:rPr>
          <w:sz w:val="20"/>
          <w:szCs w:val="20"/>
          <w:color w:val="auto"/>
        </w:rPr>
      </w:pPr>
    </w:p>
    <w:p>
      <w:pPr>
        <w:ind w:left="100" w:hanging="92"/>
        <w:spacing w:after="0"/>
        <w:tabs>
          <w:tab w:leader="none" w:pos="10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cash, cash equivalents, short-term investments and undrawn credit facilities.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121"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20" w:hanging="328"/>
        <w:spacing w:after="0" w:line="35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all-time high of 87% of customers used digital check-in, and a record 86% of customers used the United app on the day of travel.</w:t>
      </w:r>
    </w:p>
    <w:p>
      <w:pPr>
        <w:jc w:val="both"/>
        <w:ind w:left="660" w:right="800" w:hanging="328"/>
        <w:spacing w:after="0" w:line="361"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Expanded Touchless ID so customers traveling with their family or other multi-passenger reservations can opt-in independently of others in their group. Roughly 141% more customers in multi-passenger itineraries opted-in to Touchless ID with the change.</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Embedded live weather maps directly into customer messages.</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Announced a collaboration with Chef’s Table to introduce 10 exclusive meals to United Polaris® dining starting August 1.</w:t>
      </w:r>
    </w:p>
    <w:p>
      <w:pPr>
        <w:spacing w:after="0" w:line="132" w:lineRule="exact"/>
        <w:rPr>
          <w:rFonts w:ascii="Arial" w:cs="Arial" w:eastAsia="Arial" w:hAnsi="Arial"/>
          <w:sz w:val="19"/>
          <w:szCs w:val="19"/>
          <w:color w:val="auto"/>
        </w:rPr>
      </w:pPr>
    </w:p>
    <w:p>
      <w:pPr>
        <w:ind w:left="660" w:right="480" w:hanging="328"/>
        <w:spacing w:after="0" w:line="384"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Launched the next phase of the BlueSky collaboration with JetBlue, enabling customers to book directly within each airline’s booking path.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Operations</w:t>
      </w:r>
    </w:p>
    <w:p>
      <w:pPr>
        <w:spacing w:after="0" w:line="204" w:lineRule="exact"/>
        <w:rPr>
          <w:sz w:val="20"/>
          <w:szCs w:val="20"/>
          <w:color w:val="auto"/>
        </w:rPr>
      </w:pPr>
    </w:p>
    <w:p>
      <w:pPr>
        <w:ind w:left="660" w:right="96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Carried the most passengers in the first quarter in United's history, and set the record for the most narrowbody departures scheduled for the first quarter among U.S carriers.</w:t>
      </w: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Achieved a per-seat cancellation rate averaged 44% lower than the next two largest U.S. carriers by available seat miles.</w:t>
      </w:r>
    </w:p>
    <w:p>
      <w:pPr>
        <w:spacing w:after="0" w:line="119" w:lineRule="exact"/>
        <w:rPr>
          <w:rFonts w:ascii="Arial" w:cs="Arial" w:eastAsia="Arial" w:hAnsi="Arial"/>
          <w:sz w:val="19"/>
          <w:szCs w:val="19"/>
          <w:color w:val="auto"/>
        </w:rPr>
      </w:pPr>
    </w:p>
    <w:p>
      <w:pPr>
        <w:ind w:left="66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During the spring break travel period, offered the most daily available seat miles on average of all major U.S. carriers and achieved United's best on-time departure performance since 2019.</w:t>
      </w:r>
    </w:p>
    <w:p>
      <w:pPr>
        <w:ind w:left="660" w:right="160" w:hanging="328"/>
        <w:spacing w:after="0" w:line="432" w:lineRule="auto"/>
        <w:tabs>
          <w:tab w:leader="none" w:pos="621" w:val="left"/>
        </w:tabs>
        <w:numPr>
          <w:ilvl w:val="0"/>
          <w:numId w:val="11"/>
        </w:numPr>
        <w:rPr>
          <w:rFonts w:ascii="Arial" w:cs="Arial" w:eastAsia="Arial" w:hAnsi="Arial"/>
          <w:sz w:val="19"/>
          <w:szCs w:val="19"/>
          <w:color w:val="auto"/>
        </w:rPr>
      </w:pPr>
      <w:r>
        <w:rPr>
          <w:rFonts w:ascii="Arial" w:cs="Arial" w:eastAsia="Arial" w:hAnsi="Arial"/>
          <w:sz w:val="19"/>
          <w:szCs w:val="19"/>
          <w:color w:val="auto"/>
        </w:rPr>
        <w:t>Achieved the best on-time departure rate for the quarter among the eight largest U.S. carriers, closing out March as the fourth consecutive month with the best on-time departure rate among this group, the longest streak in United’s history.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Network</w:t>
      </w:r>
    </w:p>
    <w:p>
      <w:pPr>
        <w:spacing w:after="0" w:line="123"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Began selling tickets from San Francisco to Singapore for the first 787-9 Dreamliner with the new Elevated interior,</w:t>
      </w:r>
    </w:p>
    <w:p>
      <w:pPr>
        <w:spacing w:after="0" w:line="107" w:lineRule="exact"/>
        <w:rPr>
          <w:rFonts w:ascii="Arial" w:cs="Arial" w:eastAsia="Arial" w:hAnsi="Arial"/>
          <w:sz w:val="20"/>
          <w:szCs w:val="20"/>
          <w:color w:val="auto"/>
        </w:rPr>
      </w:pPr>
    </w:p>
    <w:p>
      <w:pPr>
        <w:ind w:left="660" w:right="400"/>
        <w:spacing w:after="0" w:line="319" w:lineRule="exact"/>
        <w:rPr>
          <w:rFonts w:ascii="Arial" w:cs="Arial" w:eastAsia="Arial" w:hAnsi="Arial"/>
          <w:sz w:val="20"/>
          <w:szCs w:val="20"/>
          <w:color w:val="auto"/>
        </w:rPr>
      </w:pPr>
      <w:r>
        <w:rPr>
          <w:rFonts w:ascii="Arial" w:cs="Arial" w:eastAsia="Arial" w:hAnsi="Arial"/>
          <w:sz w:val="20"/>
          <w:szCs w:val="20"/>
          <w:color w:val="auto"/>
        </w:rPr>
        <w:t>introducing customers to the new aircraft with 99 total premium seats, including 64 United Polaris seats and the new United Polaris Studio</w:t>
      </w:r>
      <w:r>
        <w:rPr>
          <w:rFonts w:ascii="MS PGothic" w:cs="MS PGothic" w:eastAsia="MS PGothic" w:hAnsi="MS PGothic"/>
          <w:sz w:val="20"/>
          <w:szCs w:val="20"/>
          <w:color w:val="auto"/>
        </w:rPr>
        <w:t>℠</w:t>
      </w:r>
      <w:r>
        <w:rPr>
          <w:rFonts w:ascii="Arial" w:cs="Arial" w:eastAsia="Arial" w:hAnsi="Arial"/>
          <w:sz w:val="20"/>
          <w:szCs w:val="20"/>
          <w:color w:val="auto"/>
        </w:rPr>
        <w:t xml:space="preserve"> product.</w:t>
      </w:r>
    </w:p>
    <w:p>
      <w:pPr>
        <w:spacing w:after="0" w:line="52" w:lineRule="exact"/>
        <w:rPr>
          <w:rFonts w:ascii="Arial" w:cs="Arial" w:eastAsia="Arial" w:hAnsi="Arial"/>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Amid the spring break travel season, United flew the largest Florida schedule in United’s history.</w:t>
      </w:r>
    </w:p>
    <w:p>
      <w:pPr>
        <w:spacing w:after="0" w:line="121" w:lineRule="exact"/>
        <w:rPr>
          <w:rFonts w:ascii="Arial" w:cs="Arial" w:eastAsia="Arial" w:hAnsi="Arial"/>
          <w:sz w:val="20"/>
          <w:szCs w:val="20"/>
          <w:color w:val="auto"/>
        </w:rPr>
      </w:pPr>
    </w:p>
    <w:p>
      <w:pPr>
        <w:ind w:left="660" w:right="360" w:hanging="328"/>
        <w:spacing w:after="0" w:line="359"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Launched 14 domestic routes to new destinations including Carlsbad, California; Abilene, Texas; Lynchburg, Virginia; Paducah, Kentucky; and Roswell, New Mexico.</w:t>
      </w:r>
    </w:p>
    <w:p>
      <w:pPr>
        <w:ind w:left="660" w:right="840" w:hanging="328"/>
        <w:spacing w:after="0" w:line="432" w:lineRule="auto"/>
        <w:tabs>
          <w:tab w:leader="none" w:pos="621" w:val="left"/>
        </w:tabs>
        <w:numPr>
          <w:ilvl w:val="0"/>
          <w:numId w:val="12"/>
        </w:numPr>
        <w:rPr>
          <w:rFonts w:ascii="Arial" w:cs="Arial" w:eastAsia="Arial" w:hAnsi="Arial"/>
          <w:sz w:val="19"/>
          <w:szCs w:val="19"/>
          <w:color w:val="auto"/>
        </w:rPr>
      </w:pPr>
      <w:r>
        <w:rPr>
          <w:rFonts w:ascii="Arial" w:cs="Arial" w:eastAsia="Arial" w:hAnsi="Arial"/>
          <w:sz w:val="19"/>
          <w:szCs w:val="19"/>
          <w:color w:val="auto"/>
        </w:rPr>
        <w:t>Unveiled the first Guam-based Boeing 737 MAX 8 in March, significantly improving the customer experience on Micronesia and intra-Asia routes with seatback entertainment at every seat, larger overhead bins and Wi-Fi.</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Employees, Communities and Investments</w:t>
      </w:r>
    </w:p>
    <w:p>
      <w:pPr>
        <w:spacing w:after="0" w:line="204" w:lineRule="exact"/>
        <w:rPr>
          <w:sz w:val="20"/>
          <w:szCs w:val="20"/>
          <w:color w:val="auto"/>
        </w:rPr>
      </w:pPr>
    </w:p>
    <w:p>
      <w:pPr>
        <w:ind w:left="660" w:right="560" w:hanging="328"/>
        <w:spacing w:after="0" w:line="398"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Named to Fortune's "World's Most Admired Companies" and TIME's "America's Most Iconic Companies," while the MileagePlus program was recognized as one of Newsweek's "Most Trusted Brands in the 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8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Recognized as a leading workplace in Forbes list of “Best Large Employers,” Newsweek’s “America’s Greatest Workplaces for Women” and Handshake’s “Early Talent Award.”</w:t>
      </w:r>
    </w:p>
    <w:p>
      <w:pPr>
        <w:ind w:left="660" w:right="20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Named a finalist for two 2026 Halo Awards from Engage for Good in recognition of disaster relief efforts, including Los Angeles Wildfire recovery support.</w:t>
      </w:r>
    </w:p>
    <w:p>
      <w:pPr>
        <w:ind w:left="6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Transported over 322 million pounds of cargo, including nearly 9 million pounds of medical shipments and 257 thousand pounds of military shipments.</w:t>
      </w:r>
    </w:p>
    <w:p>
      <w:pPr>
        <w:ind w:left="660" w:right="10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Employees volunteered nearly 7,000 hours in local communities across hub communities, participating in meal packing events, young adult aviation programs and more.</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Donated 9.8 million miles to non-profit organizations in partnership with MileagePlus members.</w:t>
      </w:r>
    </w:p>
    <w:p>
      <w:pPr>
        <w:spacing w:after="0" w:line="121" w:lineRule="exact"/>
        <w:rPr>
          <w:rFonts w:ascii="Arial" w:cs="Arial" w:eastAsia="Arial" w:hAnsi="Arial"/>
          <w:sz w:val="20"/>
          <w:szCs w:val="20"/>
          <w:color w:val="auto"/>
        </w:rPr>
      </w:pPr>
    </w:p>
    <w:p>
      <w:pPr>
        <w:ind w:left="660" w:right="460" w:hanging="328"/>
        <w:spacing w:after="0" w:line="375"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Hosted the Special Olympics Service Ambassador Summit (SOSA) to celebrate and further the leadership skills in United’s SOSA Program. In February, United supported the advocacy of more than 300 Special Olympics athletes, organizers and partners in the annual Special Olympics Capitol Hill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20"/>
          </w:cols>
          <w:pgMar w:left="320" w:top="12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 Call</w:t>
      </w:r>
    </w:p>
    <w:p>
      <w:pPr>
        <w:spacing w:after="0" w:line="4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UAL will hold a conference call to discuss first-quarter 2026 financial results, as well as its financial and operational outlook for the second-quarter 2026 and beyond, on Wednesday, April 22, 2026 at 9:30 a.m. CDT/10:30 a.m. EDT. A live, listen-only webcast of the conference call will be available at ir.united.com. The webcast will be available for replay within 24 hours of the conference call and then archived on the website.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2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providing certain second quarter 2026 and beyond financial targets, during the quarterly earnings conference call.</w:t>
      </w:r>
    </w:p>
    <w:p>
      <w:pPr>
        <w:spacing w:after="0" w:line="20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business outlook is subject to risks and uncertainties applicable to all forward-looking statements as described elsewhere in this press release. Please see the section entitled "Cautionary Statement Regarding Forward-Looking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United</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and Social Media Information</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Our executive officers may also use certain social media channels, such as X and LinkedIn, to communicate information about earnings results and company updates, which may be of interest to our investors or could be deemed to be material information. The information contained on, or that may be accessed through, our website or social media channels are not incorporated by reference into, and are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This press release and the related attachments and Investor Update (as well as the oral statements made with respect to information contained in this release and the attachments) contain certain "forward -looking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capital allocation and investments,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statements contain such terms. All statements, other than those that relate solely to historical facts, are forward-looking statements.</w:t>
      </w:r>
    </w:p>
    <w:p>
      <w:pPr>
        <w:spacing w:after="0" w:line="23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spacing w:after="0" w:line="18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w:t>
      </w:r>
    </w:p>
    <w:p>
      <w:pPr>
        <w:spacing w:after="0" w:line="1"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underperformance as compared to our expectations; adverse publicity, increased regulatory scrutiny, harm to our brand, reduced travel demand, potential tort liability and operational restrictions as a result of an accident, catastrophe or incident involving us, our regional</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w:t>
      </w:r>
    </w:p>
    <w:p>
      <w:pPr>
        <w:spacing w:after="0" w:line="7"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conflicts across the globe, as well as any escalation of the broader economic consequences of any conflicts beyond their current scope or a delay in any planned resumption of service to area impacted by conflict); any damage to our reputation or brand image; our reliance on</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military conflict in Iran;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federal income tax purposes; our failure to realize the full value of our intangible assets or our long-lived assets, causing us to record impairments; fluctuations in the price of our common stock; the impacts of seasonality, and other factors associated with the airline industry;</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increases in insurance costs or inadequate insurance coverage; risks relating to our repurchase program for shares of common stock and certain warrants exercisable for common stock; and other risks and uncertainties set forth in Part I, Item 1A. Risk Factors and in Part II, Item</w:t>
      </w:r>
    </w:p>
    <w:p>
      <w:pPr>
        <w:spacing w:after="0" w:line="1" w:lineRule="exact"/>
        <w:rPr>
          <w:sz w:val="20"/>
          <w:szCs w:val="20"/>
          <w:color w:val="auto"/>
        </w:rPr>
      </w:pPr>
    </w:p>
    <w:p>
      <w:pPr>
        <w:ind w:right="200" w:firstLine="8"/>
        <w:spacing w:after="0" w:line="242"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of our Annual Report on Form 10-K for the fiscal year ended December 31, 2025, as well as other risks and uncertainties set forth from time to time in the reports we file with the U.S.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4"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Non-GAAP financial measures typically have exclusions or adjustments that include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Please refer to the tables accompanying this release for a description of the non-GAAP adjustments and reconciliations of the historical non-GAAP financial measures used to the most comparable GAAP financial measure and related disclosures.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STATEMENTS OF CONSOLIDATED OPERATIONS (UNAUDITED)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tcPr>
          <w:p>
            <w:pPr>
              <w:jc w:val="right"/>
              <w:ind w:right="139"/>
              <w:spacing w:after="0"/>
              <w:rPr>
                <w:sz w:val="20"/>
                <w:szCs w:val="20"/>
                <w:color w:val="auto"/>
              </w:rPr>
            </w:pPr>
            <w:r>
              <w:rPr>
                <w:rFonts w:ascii="Arial" w:cs="Arial" w:eastAsia="Arial" w:hAnsi="Arial"/>
                <w:sz w:val="16"/>
                <w:szCs w:val="16"/>
                <w:color w:val="auto"/>
              </w:rPr>
              <w:t>Three Months Ended</w:t>
            </w:r>
          </w:p>
        </w:tc>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8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gridSpan w:val="4"/>
            <w:vMerge w:val="restart"/>
          </w:tcPr>
          <w:p>
            <w:pPr>
              <w:jc w:val="right"/>
              <w:ind w:right="539"/>
              <w:spacing w:after="0"/>
              <w:rPr>
                <w:sz w:val="20"/>
                <w:szCs w:val="20"/>
                <w:color w:val="auto"/>
              </w:rPr>
            </w:pPr>
            <w:r>
              <w:rPr>
                <w:rFonts w:ascii="Arial" w:cs="Arial" w:eastAsia="Arial" w:hAnsi="Arial"/>
                <w:sz w:val="16"/>
                <w:szCs w:val="16"/>
                <w:color w:val="auto"/>
              </w:rPr>
              <w:t>March 31,</w:t>
            </w: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20"/>
              <w:spacing w:after="0"/>
              <w:rPr>
                <w:sz w:val="20"/>
                <w:szCs w:val="20"/>
                <w:color w:val="auto"/>
              </w:rPr>
            </w:pPr>
            <w:r>
              <w:rPr>
                <w:rFonts w:ascii="Arial" w:cs="Arial" w:eastAsia="Arial" w:hAnsi="Arial"/>
                <w:sz w:val="16"/>
                <w:szCs w:val="16"/>
                <w:color w:val="auto"/>
              </w:rPr>
              <w:t>(In millions, except for percentage changes and per share data)</w:t>
            </w:r>
          </w:p>
        </w:tc>
        <w:tc>
          <w:tcPr>
            <w:tcW w:w="140" w:type="dxa"/>
            <w:vAlign w:val="bottom"/>
          </w:tcPr>
          <w:p>
            <w:pPr>
              <w:spacing w:after="0" w:line="20" w:lineRule="exact"/>
              <w:rPr>
                <w:sz w:val="1"/>
                <w:szCs w:val="1"/>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ind w:right="179"/>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Passenger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13,166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11,860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Cargo 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revenue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Salaries and related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4,155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fuel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Landing fees and other rent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maintenance materials and outside repairs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Regional capacity purchase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Distribution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rent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Special charges (credits)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capitalized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8100" w:type="dxa"/>
            <w:vAlign w:val="bottom"/>
          </w:tcPr>
          <w:p>
            <w:pPr>
              <w:ind w:left="220"/>
              <w:spacing w:after="0"/>
              <w:rPr>
                <w:sz w:val="20"/>
                <w:szCs w:val="20"/>
                <w:color w:val="auto"/>
              </w:rPr>
            </w:pPr>
            <w:r>
              <w:rPr>
                <w:rFonts w:ascii="Arial" w:cs="Arial" w:eastAsia="Arial" w:hAnsi="Arial"/>
                <w:sz w:val="16"/>
                <w:szCs w:val="16"/>
                <w:color w:val="auto"/>
              </w:rPr>
              <w:t>Unrealized losses on investments,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Miscellaneous, net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nonoperating expense, net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line="20" w:lineRule="exact"/>
              <w:rPr>
                <w:sz w:val="1"/>
                <w:szCs w:val="1"/>
                <w:color w:val="auto"/>
              </w:rPr>
            </w:pPr>
          </w:p>
        </w:tc>
      </w:tr>
      <w:tr>
        <w:trPr>
          <w:trHeight w:val="189"/>
        </w:trPr>
        <w:tc>
          <w:tcPr>
            <w:tcW w:w="8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333.0</w:t>
            </w: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NM-Greater than 100% change or otherwise not meaningful.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 (UNAUDITED)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is as follows (in millions, except for percentage changes):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Passenger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7"/>
            <w:vMerge w:val="restart"/>
          </w:tcPr>
          <w:p>
            <w:pPr>
              <w:jc w:val="center"/>
              <w:ind w:right="320"/>
              <w:spacing w:after="0"/>
              <w:rPr>
                <w:sz w:val="20"/>
                <w:szCs w:val="20"/>
                <w:color w:val="auto"/>
              </w:rPr>
            </w:pPr>
            <w:r>
              <w:rPr>
                <w:rFonts w:ascii="Arial" w:cs="Arial" w:eastAsia="Arial" w:hAnsi="Arial"/>
                <w:sz w:val="16"/>
                <w:szCs w:val="16"/>
                <w:color w:val="auto"/>
              </w:rPr>
              <w:t>Available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auto"/>
              </w:rPr>
              <w:t>1Q 2026</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Passenger</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Revenue per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1Q 2026</w:t>
            </w:r>
          </w:p>
        </w:tc>
        <w:tc>
          <w:tcPr>
            <w:tcW w:w="120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Available Seat</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center"/>
              <w:ind w:right="300"/>
              <w:spacing w:after="0" w:line="162" w:lineRule="exact"/>
              <w:rPr>
                <w:sz w:val="20"/>
                <w:szCs w:val="20"/>
                <w:color w:val="auto"/>
              </w:rPr>
            </w:pPr>
            <w:r>
              <w:rPr>
                <w:rFonts w:ascii="Arial" w:cs="Arial" w:eastAsia="Arial" w:hAnsi="Arial"/>
                <w:sz w:val="16"/>
                <w:szCs w:val="16"/>
                <w:color w:val="auto"/>
              </w:rPr>
              <w:t>Seat Miles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Revenue</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5"/>
              </w:rPr>
              <w:t>Mile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Yield vs. 1Q</w:t>
            </w:r>
          </w:p>
        </w:tc>
        <w:tc>
          <w:tcPr>
            <w:tcW w:w="1420" w:type="dxa"/>
            <w:vAlign w:val="bottom"/>
            <w:gridSpan w:val="7"/>
          </w:tcPr>
          <w:p>
            <w:pPr>
              <w:jc w:val="center"/>
              <w:ind w:right="320"/>
              <w:spacing w:after="0" w:line="162" w:lineRule="exact"/>
              <w:rPr>
                <w:sz w:val="20"/>
                <w:szCs w:val="20"/>
                <w:color w:val="auto"/>
              </w:rPr>
            </w:pPr>
            <w:r>
              <w:rPr>
                <w:rFonts w:ascii="Arial" w:cs="Arial" w:eastAsia="Arial" w:hAnsi="Arial"/>
                <w:sz w:val="16"/>
                <w:szCs w:val="16"/>
                <w:color w:val="auto"/>
              </w:rPr>
              <w:t>("ASMs")</w:t>
            </w: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auto"/>
              </w:rPr>
              <w:t>1Q 2026</w:t>
            </w:r>
          </w:p>
        </w:tc>
        <w:tc>
          <w:tcPr>
            <w:tcW w:w="4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Passenger</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rPr>
              <w:t>Passenger</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7"/>
              </w:rPr>
              <w:t>vs.</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("PRASM") vs.</w:t>
            </w: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center"/>
              <w:ind w:right="680"/>
              <w:spacing w:after="0" w:line="162" w:lineRule="exact"/>
              <w:rPr>
                <w:sz w:val="20"/>
                <w:szCs w:val="20"/>
                <w:color w:val="auto"/>
              </w:rPr>
            </w:pPr>
            <w:r>
              <w:rPr>
                <w:rFonts w:ascii="Arial" w:cs="Arial" w:eastAsia="Arial" w:hAnsi="Arial"/>
                <w:sz w:val="16"/>
                <w:szCs w:val="16"/>
                <w:color w:val="auto"/>
                <w:w w:val="97"/>
              </w:rPr>
              <w:t>vs.</w:t>
            </w:r>
          </w:p>
        </w:tc>
        <w:tc>
          <w:tcPr>
            <w:tcW w:w="10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Miles</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Revenue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1Q 2025</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color w:val="auto"/>
              </w:rPr>
              <w:t>1Q 2025</w:t>
            </w:r>
          </w:p>
        </w:tc>
        <w:tc>
          <w:tcPr>
            <w:tcW w:w="1080" w:type="dxa"/>
            <w:vAlign w:val="bottom"/>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420" w:type="dxa"/>
            <w:vAlign w:val="bottom"/>
            <w:gridSpan w:val="7"/>
          </w:tcPr>
          <w:p>
            <w:pPr>
              <w:jc w:val="center"/>
              <w:ind w:right="320"/>
              <w:spacing w:after="0"/>
              <w:rPr>
                <w:sz w:val="20"/>
                <w:szCs w:val="20"/>
                <w:color w:val="auto"/>
              </w:rPr>
            </w:pPr>
            <w:r>
              <w:rPr>
                <w:rFonts w:ascii="Arial" w:cs="Arial" w:eastAsia="Arial" w:hAnsi="Arial"/>
                <w:sz w:val="16"/>
                <w:szCs w:val="16"/>
                <w:color w:val="auto"/>
              </w:rPr>
              <w:t>1Q 2025</w:t>
            </w:r>
          </w:p>
        </w:tc>
        <w:tc>
          <w:tcPr>
            <w:tcW w:w="1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6"/>
                <w:szCs w:val="16"/>
                <w:color w:val="auto"/>
              </w:rPr>
              <w:t>ASMs</w:t>
            </w:r>
          </w:p>
        </w:tc>
        <w:tc>
          <w:tcPr>
            <w:tcW w:w="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rPr>
              <w:t>("RPMs")</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7.9%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5.9%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color w:val="auto"/>
                <w:w w:val="98"/>
              </w:rPr>
              <w:t>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34,915</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5.3%</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8,328</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Middle East/India/Africa</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1,808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4.6%</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8"/>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Pacific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8.1%</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6"/>
                <w:szCs w:val="16"/>
                <w:color w:val="auto"/>
                <w:w w:val="98"/>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10,319</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8,015</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7.0%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6"/>
                <w:szCs w:val="16"/>
                <w:color w:val="auto"/>
                <w:w w:val="98"/>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11.0%</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7.4%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8"/>
                <w:szCs w:val="18"/>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8"/>
              </w:rPr>
              <w:t>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63,385</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160" w:type="dxa"/>
            <w:vAlign w:val="bottom"/>
            <w:gridSpan w:val="4"/>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8"/>
          </w:tcPr>
          <w:p>
            <w:pPr>
              <w:jc w:val="center"/>
              <w:ind w:right="220"/>
              <w:spacing w:after="0"/>
              <w:rPr>
                <w:sz w:val="20"/>
                <w:szCs w:val="20"/>
                <w:color w:val="auto"/>
              </w:rPr>
            </w:pPr>
            <w:r>
              <w:rPr>
                <w:rFonts w:ascii="Arial" w:cs="Arial" w:eastAsia="Arial" w:hAnsi="Arial"/>
                <w:sz w:val="16"/>
                <w:szCs w:val="16"/>
                <w:color w:val="auto"/>
              </w:rPr>
              <w:t>Three Months Ended</w:t>
            </w:r>
          </w:p>
        </w:tc>
        <w:tc>
          <w:tcPr>
            <w:tcW w:w="1100" w:type="dxa"/>
            <w:vAlign w:val="bottom"/>
            <w:gridSpan w:val="3"/>
            <w:vMerge w:val="restart"/>
          </w:tcPr>
          <w:p>
            <w:pPr>
              <w:jc w:val="right"/>
              <w:ind w:right="3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60" w:type="dxa"/>
            <w:vAlign w:val="bottom"/>
            <w:gridSpan w:val="8"/>
            <w:vMerge w:val="restart"/>
          </w:tcPr>
          <w:p>
            <w:pPr>
              <w:jc w:val="center"/>
              <w:ind w:right="220"/>
              <w:spacing w:after="0"/>
              <w:rPr>
                <w:sz w:val="20"/>
                <w:szCs w:val="20"/>
                <w:color w:val="auto"/>
              </w:rPr>
            </w:pPr>
            <w:r>
              <w:rPr>
                <w:rFonts w:ascii="Arial" w:cs="Arial" w:eastAsia="Arial" w:hAnsi="Arial"/>
                <w:sz w:val="16"/>
                <w:szCs w:val="16"/>
                <w:color w:val="auto"/>
              </w:rPr>
              <w:t>March 31,</w:t>
            </w: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restart"/>
          </w:tcPr>
          <w:p>
            <w:pPr>
              <w:jc w:val="right"/>
              <w:ind w:right="119"/>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8"/>
                <w:szCs w:val="18"/>
                <w:color w:val="auto"/>
              </w:rPr>
              <w:t>2025</w:t>
            </w: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Passengers (thousands) (a)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40,806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RPMs (millions) (b)</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63,385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59,517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ASMs (millions) (c)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77,698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75,155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Passenger load factor: (d)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81.6 %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79.2 %</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rPr>
                <w:sz w:val="20"/>
                <w:szCs w:val="20"/>
                <w:color w:val="auto"/>
              </w:rPr>
            </w:pPr>
            <w:r>
              <w:rPr>
                <w:rFonts w:ascii="Arial" w:cs="Arial" w:eastAsia="Arial" w:hAnsi="Arial"/>
                <w:sz w:val="16"/>
                <w:szCs w:val="16"/>
                <w:color w:val="auto"/>
              </w:rPr>
              <w:t>Domestic</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81.7 %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80.3 %</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81.4 %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77.8 %</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PRASM (cents)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revenue per available seat mile ("TRASM") (cents)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Average yield per RPM (cents) (e)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19.93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Cargo revenue ton miles (millions) (f)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Aircraft in fleet at end of period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1,442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stage length (miles) (g)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4"/>
          </w:tcPr>
          <w:p>
            <w:pPr>
              <w:ind w:left="20"/>
              <w:spacing w:after="0"/>
              <w:rPr>
                <w:sz w:val="20"/>
                <w:szCs w:val="20"/>
                <w:color w:val="auto"/>
              </w:rPr>
            </w:pPr>
            <w:r>
              <w:rPr>
                <w:rFonts w:ascii="Arial" w:cs="Arial" w:eastAsia="Arial" w:hAnsi="Arial"/>
                <w:sz w:val="16"/>
                <w:szCs w:val="16"/>
                <w:color w:val="auto"/>
              </w:rPr>
              <w:t>Employee headcount, as of March 31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per ASM ("CASM") (cents)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CASM-ex (cents) (h)</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aircraft fuel price per gallon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Fuel gallons consumed (millions)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spacing w:after="0" w:line="8" w:lineRule="exact"/>
        <w:rPr>
          <w:rFonts w:ascii="Arial" w:cs="Arial" w:eastAsia="Arial" w:hAnsi="Arial"/>
          <w:sz w:val="16"/>
          <w:szCs w:val="16"/>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RPMs divided by ASMs.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average passenger revenue received for each RPM flown.</w:t>
      </w:r>
    </w:p>
    <w:p>
      <w:pPr>
        <w:spacing w:after="0" w:line="8" w:lineRule="exact"/>
        <w:rPr>
          <w:rFonts w:ascii="Arial" w:cs="Arial" w:eastAsia="Arial" w:hAnsi="Arial"/>
          <w:sz w:val="16"/>
          <w:szCs w:val="16"/>
          <w:color w:val="auto"/>
        </w:rPr>
      </w:pPr>
    </w:p>
    <w:p>
      <w:pPr>
        <w:ind w:left="200" w:hanging="192"/>
        <w:spacing w:after="0"/>
        <w:tabs>
          <w:tab w:leader="none" w:pos="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distance a flight travels weighted for size of aircraft.</w:t>
      </w:r>
    </w:p>
    <w:p>
      <w:pPr>
        <w:spacing w:after="0" w:line="8" w:lineRule="exact"/>
        <w:rPr>
          <w:rFonts w:ascii="Arial" w:cs="Arial" w:eastAsia="Arial" w:hAnsi="Arial"/>
          <w:sz w:val="16"/>
          <w:szCs w:val="16"/>
          <w:color w:val="auto"/>
        </w:rPr>
      </w:pPr>
    </w:p>
    <w:p>
      <w:pPr>
        <w:ind w:right="420" w:firstLine="8"/>
        <w:spacing w:after="0" w:line="265" w:lineRule="auto"/>
        <w:tabs>
          <w:tab w:leader="none" w:pos="2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CASM-ex is CASM less the impact of fuel expense, profit sharing, special charges and third-party business expenses. See NON-GAAP FINANCIAL INFORMATION for a reconciliation of CASM-ex to CASM, the most comparable GAAP measure.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32" w:lineRule="exact"/>
        <w:rPr>
          <w:sz w:val="20"/>
          <w:szCs w:val="20"/>
          <w:color w:val="auto"/>
        </w:rPr>
      </w:pPr>
    </w:p>
    <w:p>
      <w:pPr>
        <w:ind w:left="100" w:hanging="92"/>
        <w:spacing w:after="0"/>
        <w:tabs>
          <w:tab w:leader="none" w:pos="10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NON-GAAP FINANCIAL INFORMATION</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6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spacing w:after="0" w:line="6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CASM is a common metric used in the airline industry to measure an airline's cost structure and efficiency. UAL reports CASM excluding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spacing w:after="0" w:line="6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We calculate Adjusted EBITDA by adding interest, taxes, depreciation and amortization to net income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adjusting for special charges, nonoperating unrealized (gains) losses on investments, net and nonoperating debt extinguishment and modification fees. UAL believes that adjusting for these items is useful to investors because they are not indicative of UAL's ongoing performance. Adjusted EBITDA is further adjusted by the fixed portion of operating lease expense to calculate Adjusted EBITDAR to provide investors with enhanced comparability to our peers and better reflect our performance.</w:t>
      </w:r>
    </w:p>
    <w:p>
      <w:pPr>
        <w:spacing w:after="0" w:line="4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UAL believes that adjusting capital expenditures for assets acquired through the issuance or modification of debt,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and other financial liabilities is useful to investors in order to appropriately reflect the total amounts spent on capital expenditures.</w:t>
      </w:r>
    </w:p>
    <w:p>
      <w:pPr>
        <w:spacing w:after="0" w:line="3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We define free cash flow as the sum of net cash from operating activities and net cash from investing activities, adjusted for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short-term investments and the net change in restricted cash. We believe adjusting for short-term investments and restricted cash activity provides investors a better understanding of the company's free cash flow generated by our core operations. We also believe our methodology provides investors with enhanced comparability to our peers and better reflects our performance.</w:t>
      </w:r>
    </w:p>
    <w:p>
      <w:pPr>
        <w:spacing w:after="0" w:line="6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color w:val="auto"/>
        </w:rPr>
        <w:t xml:space="preserve">Free Cash Conversion: </w:t>
      </w:r>
      <w:r>
        <w:rPr>
          <w:rFonts w:ascii="Arial" w:cs="Arial" w:eastAsia="Arial" w:hAnsi="Arial"/>
          <w:sz w:val="16"/>
          <w:szCs w:val="16"/>
          <w:color w:val="auto"/>
        </w:rPr>
        <w:t>Free cash conversion is a non-GAAP financial measure that is equal to free cash flow divided by adjusted net income. UAL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free cash conversion because it provides a better understanding of the company's free cash flow generated by our core operations relative to our profitability. We are not providing a target for or a reconciliation to net cash provided by operating activities or net income, the most directly comparable GAAP measures, because we are unable to predict the excluded items contained in the GAAP measure without unreasonable efforts, and therefore we also are not able to determine the probable significance of such items.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Adjusted Total Debt and Adjusted Net Debt: </w:t>
      </w:r>
      <w:r>
        <w:rPr>
          <w:rFonts w:ascii="Arial" w:cs="Arial" w:eastAsia="Arial" w:hAnsi="Arial"/>
          <w:sz w:val="16"/>
          <w:szCs w:val="16"/>
          <w:color w:val="auto"/>
        </w:rPr>
        <w:t>Adjusted total debt is a non-GAAP financial measure that includes current and long-term debt, finance lease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p>
    <w:p>
      <w:pPr>
        <w:spacing w:after="0" w:line="4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 xml:space="preserve">Net Leverage: </w:t>
      </w:r>
      <w:r>
        <w:rPr>
          <w:rFonts w:ascii="Arial" w:cs="Arial" w:eastAsia="Arial" w:hAnsi="Arial"/>
          <w:sz w:val="16"/>
          <w:szCs w:val="16"/>
          <w:color w:val="auto"/>
        </w:rPr>
        <w:t>Net leverage is a non-GAAP financial measure that is equal to adjusted net debt divided by trailing twelve month Adjusted EBITDAR. UAL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net leverage because we believe it provides useful supplemental information for assessing the company's debt level. See the above descriptions of Adjusted Net Debt and Adjusted EBITDAR.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20" w:type="dxa"/>
            <w:vAlign w:val="bottom"/>
            <w:gridSpan w:val="3"/>
          </w:tcPr>
          <w:p>
            <w:pPr>
              <w:jc w:val="right"/>
              <w:ind w:right="78"/>
              <w:spacing w:after="0"/>
              <w:rPr>
                <w:sz w:val="20"/>
                <w:szCs w:val="20"/>
                <w:color w:val="auto"/>
              </w:rPr>
            </w:pPr>
            <w:r>
              <w:rPr>
                <w:rFonts w:ascii="Arial" w:cs="Arial" w:eastAsia="Arial" w:hAnsi="Arial"/>
                <w:sz w:val="16"/>
                <w:szCs w:val="16"/>
                <w:color w:val="auto"/>
              </w:rPr>
              <w:t>Three Months Ended</w:t>
            </w:r>
          </w:p>
        </w:tc>
        <w:tc>
          <w:tcPr>
            <w:tcW w:w="1220" w:type="dxa"/>
            <w:vAlign w:val="bottom"/>
            <w:gridSpan w:val="2"/>
            <w:vMerge w:val="restart"/>
          </w:tcPr>
          <w:p>
            <w:pPr>
              <w:jc w:val="center"/>
              <w:ind w:lef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820" w:type="dxa"/>
            <w:vAlign w:val="bottom"/>
            <w:gridSpan w:val="3"/>
            <w:vMerge w:val="restart"/>
          </w:tcPr>
          <w:p>
            <w:pPr>
              <w:jc w:val="right"/>
              <w:ind w:right="478"/>
              <w:spacing w:after="0"/>
              <w:rPr>
                <w:sz w:val="20"/>
                <w:szCs w:val="20"/>
                <w:color w:val="auto"/>
              </w:rPr>
            </w:pPr>
            <w:r>
              <w:rPr>
                <w:rFonts w:ascii="Arial" w:cs="Arial" w:eastAsia="Arial" w:hAnsi="Arial"/>
                <w:sz w:val="16"/>
                <w:szCs w:val="16"/>
                <w:color w:val="auto"/>
              </w:rPr>
              <w:t>March 31,</w:t>
            </w: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2"/>
        </w:trPr>
        <w:tc>
          <w:tcPr>
            <w:tcW w:w="4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(in cents, except for percentage changes)</w:t>
            </w:r>
          </w:p>
        </w:tc>
        <w:tc>
          <w:tcPr>
            <w:tcW w:w="426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138"/>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CASM (GAAP)</w:t>
            </w:r>
          </w:p>
        </w:tc>
        <w:tc>
          <w:tcPr>
            <w:tcW w:w="3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4660" w:type="dxa"/>
            <w:vAlign w:val="bottom"/>
          </w:tcPr>
          <w:p>
            <w:pPr>
              <w:ind w:left="220"/>
              <w:spacing w:after="0"/>
              <w:rPr>
                <w:sz w:val="20"/>
                <w:szCs w:val="20"/>
                <w:color w:val="auto"/>
              </w:rPr>
            </w:pPr>
            <w:r>
              <w:rPr>
                <w:rFonts w:ascii="Arial" w:cs="Arial" w:eastAsia="Arial" w:hAnsi="Arial"/>
                <w:sz w:val="16"/>
                <w:szCs w:val="16"/>
                <w:color w:val="auto"/>
              </w:rPr>
              <w:t>Fuel expense</w:t>
            </w:r>
          </w:p>
        </w:tc>
        <w:tc>
          <w:tcPr>
            <w:tcW w:w="426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Profit sharing</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5"/>
        </w:trPr>
        <w:tc>
          <w:tcPr>
            <w:tcW w:w="4660" w:type="dxa"/>
            <w:vAlign w:val="bottom"/>
          </w:tcPr>
          <w:p>
            <w:pPr>
              <w:ind w:left="220"/>
              <w:spacing w:after="0"/>
              <w:rPr>
                <w:sz w:val="20"/>
                <w:szCs w:val="20"/>
                <w:color w:val="auto"/>
              </w:rPr>
            </w:pPr>
            <w:r>
              <w:rPr>
                <w:rFonts w:ascii="Arial" w:cs="Arial" w:eastAsia="Arial" w:hAnsi="Arial"/>
                <w:sz w:val="16"/>
                <w:szCs w:val="16"/>
                <w:color w:val="auto"/>
              </w:rPr>
              <w:t>Third-party business expenses</w:t>
            </w:r>
          </w:p>
        </w:tc>
        <w:tc>
          <w:tcPr>
            <w:tcW w:w="4260" w:type="dxa"/>
            <w:vAlign w:val="bottom"/>
            <w:gridSpan w:val="2"/>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charges (credits)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CASM-ex (Non-GAAP)</w:t>
            </w:r>
          </w:p>
        </w:tc>
        <w:tc>
          <w:tcPr>
            <w:tcW w:w="34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440" w:type="dxa"/>
            <w:vAlign w:val="bottom"/>
            <w:vMerge w:val="restart"/>
          </w:tcPr>
          <w:p>
            <w:pPr>
              <w:jc w:val="right"/>
              <w:ind w:right="2318"/>
              <w:spacing w:after="0"/>
              <w:rPr>
                <w:sz w:val="20"/>
                <w:szCs w:val="20"/>
                <w:color w:val="auto"/>
              </w:rPr>
            </w:pPr>
            <w:r>
              <w:rPr>
                <w:rFonts w:ascii="Arial" w:cs="Arial" w:eastAsia="Arial" w:hAnsi="Arial"/>
                <w:sz w:val="16"/>
                <w:szCs w:val="16"/>
                <w:color w:val="auto"/>
              </w:rPr>
              <w:t>11</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46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gridSpan w:val="3"/>
          </w:tcPr>
          <w:p>
            <w:pPr>
              <w:jc w:val="center"/>
              <w:ind w:left="4079"/>
              <w:spacing w:after="0"/>
              <w:rPr>
                <w:sz w:val="20"/>
                <w:szCs w:val="20"/>
                <w:color w:val="auto"/>
              </w:rPr>
            </w:pPr>
            <w:r>
              <w:rPr>
                <w:rFonts w:ascii="Arial" w:cs="Arial" w:eastAsia="Arial" w:hAnsi="Arial"/>
                <w:sz w:val="16"/>
                <w:szCs w:val="16"/>
                <w:b w:val="1"/>
                <w:bCs w:val="1"/>
                <w:color w:val="auto"/>
              </w:rPr>
              <w:t>UNITED AIRLINES HOLDINGS, 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7820" w:type="dxa"/>
            <w:vAlign w:val="bottom"/>
            <w:gridSpan w:val="4"/>
          </w:tcPr>
          <w:p>
            <w:pPr>
              <w:jc w:val="center"/>
              <w:ind w:left="3359"/>
              <w:spacing w:after="0"/>
              <w:rPr>
                <w:sz w:val="20"/>
                <w:szCs w:val="20"/>
                <w:color w:val="auto"/>
              </w:rPr>
            </w:pPr>
            <w:r>
              <w:rPr>
                <w:rFonts w:ascii="Arial" w:cs="Arial" w:eastAsia="Arial" w:hAnsi="Arial"/>
                <w:sz w:val="16"/>
                <w:szCs w:val="16"/>
                <w:color w:val="auto"/>
              </w:rPr>
              <w:t>NON-GAAP FINANCIAL INFORMATION (Continued)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12"/>
          </w:tcPr>
          <w:p>
            <w:pPr>
              <w:jc w:val="center"/>
              <w:spacing w:after="0"/>
              <w:rPr>
                <w:sz w:val="20"/>
                <w:szCs w:val="20"/>
                <w:color w:val="auto"/>
              </w:rPr>
            </w:pPr>
            <w:r>
              <w:rPr>
                <w:rFonts w:ascii="Arial" w:cs="Arial" w:eastAsia="Arial" w:hAnsi="Arial"/>
                <w:sz w:val="16"/>
                <w:szCs w:val="16"/>
                <w:color w:val="auto"/>
              </w:rPr>
              <w:t>Three Months Ended March</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12"/>
          </w:tcPr>
          <w:p>
            <w:pPr>
              <w:ind w:left="40"/>
              <w:spacing w:after="0"/>
              <w:rPr>
                <w:sz w:val="20"/>
                <w:szCs w:val="20"/>
                <w:color w:val="auto"/>
              </w:rPr>
            </w:pPr>
            <w:r>
              <w:rPr>
                <w:rFonts w:ascii="Arial" w:cs="Arial" w:eastAsia="Arial" w:hAnsi="Arial"/>
                <w:sz w:val="16"/>
                <w:szCs w:val="16"/>
                <w:color w:val="auto"/>
              </w:rPr>
              <w:t>Twelve Months Ended March</w:t>
            </w:r>
          </w:p>
        </w:tc>
        <w:tc>
          <w:tcPr>
            <w:tcW w:w="0" w:type="dxa"/>
            <w:vAlign w:val="bottom"/>
          </w:tcPr>
          <w:p>
            <w:pPr>
              <w:spacing w:after="0"/>
              <w:rPr>
                <w:sz w:val="1"/>
                <w:szCs w:val="1"/>
                <w:color w:val="auto"/>
              </w:rPr>
            </w:pPr>
          </w:p>
        </w:tc>
      </w:tr>
      <w:tr>
        <w:trPr>
          <w:trHeight w:val="215"/>
        </w:trPr>
        <w:tc>
          <w:tcPr>
            <w:tcW w:w="68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7"/>
          </w:tcPr>
          <w:p>
            <w:pPr>
              <w:jc w:val="center"/>
              <w:ind w:left="498"/>
              <w:spacing w:after="0"/>
              <w:rPr>
                <w:sz w:val="20"/>
                <w:szCs w:val="20"/>
                <w:color w:val="auto"/>
              </w:rPr>
            </w:pPr>
            <w:r>
              <w:rPr>
                <w:rFonts w:ascii="Arial" w:cs="Arial" w:eastAsia="Arial" w:hAnsi="Arial"/>
                <w:sz w:val="16"/>
                <w:szCs w:val="16"/>
                <w:color w:val="auto"/>
                <w:w w:val="98"/>
              </w:rPr>
              <w:t>31,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(in millions)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(GAAP)</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3,660</w:t>
            </w:r>
          </w:p>
        </w:tc>
        <w:tc>
          <w:tcPr>
            <w:tcW w:w="0" w:type="dxa"/>
            <w:vAlign w:val="bottom"/>
          </w:tcPr>
          <w:p>
            <w:pPr>
              <w:spacing w:after="0"/>
              <w:rPr>
                <w:sz w:val="1"/>
                <w:szCs w:val="1"/>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Adjusted for: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15"/>
        </w:trPr>
        <w:tc>
          <w:tcPr>
            <w:tcW w:w="6860" w:type="dxa"/>
            <w:vAlign w:val="bottom"/>
          </w:tcPr>
          <w:p>
            <w:pPr>
              <w:ind w:left="140"/>
              <w:spacing w:after="0"/>
              <w:rPr>
                <w:sz w:val="20"/>
                <w:szCs w:val="20"/>
                <w:color w:val="auto"/>
              </w:rPr>
            </w:pPr>
            <w:r>
              <w:rPr>
                <w:rFonts w:ascii="Arial" w:cs="Arial" w:eastAsia="Arial" w:hAnsi="Arial"/>
                <w:sz w:val="16"/>
                <w:szCs w:val="16"/>
                <w:color w:val="auto"/>
              </w:rPr>
              <w:t>Interest expense, net of capitalized interest and 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8"/>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5"/>
        </w:trPr>
        <w:tc>
          <w:tcPr>
            <w:tcW w:w="6860" w:type="dxa"/>
            <w:vAlign w:val="bottom"/>
          </w:tcPr>
          <w:p>
            <w:pPr>
              <w:ind w:left="140"/>
              <w:spacing w:after="0"/>
              <w:rPr>
                <w:sz w:val="20"/>
                <w:szCs w:val="20"/>
                <w:color w:val="auto"/>
              </w:rPr>
            </w:pPr>
            <w:r>
              <w:rPr>
                <w:rFonts w:ascii="Arial" w:cs="Arial" w:eastAsia="Arial" w:hAnsi="Arial"/>
                <w:sz w:val="16"/>
                <w:szCs w:val="16"/>
                <w:color w:val="auto"/>
              </w:rPr>
              <w:t>Special charges (credits)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(389)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8"/>
              </w:rPr>
              <w:t>(23)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8"/>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unrealized (gains) losses on investments,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Nonoperating debt extinguishment and modification fees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2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1,392</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(non-GAAP)</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9.5 %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5"/>
          </w:tcPr>
          <w:p>
            <w:pPr>
              <w:jc w:val="right"/>
              <w:spacing w:after="0"/>
              <w:rPr>
                <w:sz w:val="20"/>
                <w:szCs w:val="20"/>
                <w:color w:val="auto"/>
              </w:rPr>
            </w:pPr>
            <w:r>
              <w:rPr>
                <w:rFonts w:ascii="Arial" w:cs="Arial" w:eastAsia="Arial" w:hAnsi="Arial"/>
                <w:sz w:val="16"/>
                <w:szCs w:val="16"/>
                <w:i w:val="1"/>
                <w:iCs w:val="1"/>
                <w:color w:val="auto"/>
              </w:rPr>
              <w:t>9.6 %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6"/>
                <w:szCs w:val="16"/>
                <w:i w:val="1"/>
                <w:iCs w:val="1"/>
                <w:color w:val="auto"/>
              </w:rPr>
              <w:t>13.6 %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14.9 %</w:t>
            </w:r>
          </w:p>
        </w:tc>
        <w:tc>
          <w:tcPr>
            <w:tcW w:w="0" w:type="dxa"/>
            <w:vAlign w:val="bottom"/>
          </w:tcPr>
          <w:p>
            <w:pPr>
              <w:spacing w:after="0"/>
              <w:rPr>
                <w:sz w:val="1"/>
                <w:szCs w:val="1"/>
                <w:color w:val="auto"/>
              </w:rPr>
            </w:pPr>
          </w:p>
        </w:tc>
      </w:tr>
      <w:tr>
        <w:trPr>
          <w:trHeight w:val="164"/>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1,392</w:t>
            </w:r>
          </w:p>
        </w:tc>
        <w:tc>
          <w:tcPr>
            <w:tcW w:w="340" w:type="dxa"/>
            <w:vAlign w:val="bottom"/>
            <w:gridSpan w:val="6"/>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8,205</w:t>
            </w:r>
          </w:p>
        </w:tc>
        <w:tc>
          <w:tcPr>
            <w:tcW w:w="1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portion of operating lease expense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245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EBITDAR (non-GAAP)</w:t>
            </w:r>
          </w:p>
        </w:tc>
        <w:tc>
          <w:tcPr>
            <w:tcW w:w="2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1,637</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9,132</w:t>
            </w:r>
          </w:p>
        </w:tc>
        <w:tc>
          <w:tcPr>
            <w:tcW w:w="1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5"/>
          </w:tcPr>
          <w:p>
            <w:pPr>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(in millions)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of flight equipment purchase deposit returns (GAAP)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162"/>
        </w:trPr>
        <w:tc>
          <w:tcPr>
            <w:tcW w:w="8920" w:type="dxa"/>
            <w:vAlign w:val="bottom"/>
            <w:gridSpan w:val="14"/>
          </w:tcPr>
          <w:p>
            <w:pPr>
              <w:ind w:left="24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 debt, finance leases and other financial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860" w:type="dxa"/>
            <w:vAlign w:val="bottom"/>
          </w:tcPr>
          <w:p>
            <w:pPr>
              <w:ind w:left="240"/>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 converted to finance leases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Adjusted capital expenditures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5"/>
          </w:tcPr>
          <w:p>
            <w:pPr>
              <w:jc w:val="center"/>
              <w:ind w:right="100"/>
              <w:spacing w:after="0"/>
              <w:rPr>
                <w:sz w:val="20"/>
                <w:szCs w:val="20"/>
                <w:color w:val="auto"/>
              </w:rPr>
            </w:pPr>
            <w:r>
              <w:rPr>
                <w:rFonts w:ascii="Arial" w:cs="Arial" w:eastAsia="Arial" w:hAnsi="Arial"/>
                <w:sz w:val="16"/>
                <w:szCs w:val="16"/>
                <w:color w:val="auto"/>
              </w:rPr>
              <w:t>Three Months Ended March</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10"/>
          </w:tcPr>
          <w:p>
            <w:pPr>
              <w:jc w:val="center"/>
              <w:ind w:right="78"/>
              <w:spacing w:after="0"/>
              <w:rPr>
                <w:sz w:val="20"/>
                <w:szCs w:val="20"/>
                <w:color w:val="auto"/>
              </w:rPr>
            </w:pPr>
            <w:r>
              <w:rPr>
                <w:rFonts w:ascii="Arial" w:cs="Arial" w:eastAsia="Arial" w:hAnsi="Arial"/>
                <w:sz w:val="16"/>
                <w:szCs w:val="16"/>
                <w:color w:val="auto"/>
              </w:rPr>
              <w:t>Twelve Months Ended</w:t>
            </w:r>
          </w:p>
        </w:tc>
        <w:tc>
          <w:tcPr>
            <w:tcW w:w="0" w:type="dxa"/>
            <w:vAlign w:val="bottom"/>
          </w:tcPr>
          <w:p>
            <w:pPr>
              <w:spacing w:after="0"/>
              <w:rPr>
                <w:sz w:val="1"/>
                <w:szCs w:val="1"/>
                <w:color w:val="auto"/>
              </w:rPr>
            </w:pPr>
          </w:p>
        </w:tc>
      </w:tr>
      <w:tr>
        <w:trPr>
          <w:trHeight w:val="215"/>
        </w:trPr>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6"/>
                <w:szCs w:val="16"/>
                <w:color w:val="auto"/>
                <w:w w:val="98"/>
              </w:rPr>
              <w:t>31,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7"/>
          </w:tcPr>
          <w:p>
            <w:pPr>
              <w:jc w:val="center"/>
              <w:ind w:right="578"/>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9,520</w:t>
            </w:r>
          </w:p>
        </w:tc>
        <w:tc>
          <w:tcPr>
            <w:tcW w:w="18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0" w:type="dxa"/>
            <w:vAlign w:val="bottom"/>
          </w:tcPr>
          <w:p>
            <w:pPr>
              <w:spacing w:after="0"/>
              <w:rPr>
                <w:sz w:val="1"/>
                <w:szCs w:val="1"/>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Net cash used in investing activities (GAAP)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6"/>
                <w:szCs w:val="16"/>
                <w:color w:val="auto"/>
              </w:rPr>
              <w:t>(1,462)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6"/>
                <w:szCs w:val="16"/>
                <w:color w:val="auto"/>
              </w:rPr>
              <w:t>(6,783)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for: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Net change in short-term investments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4"/>
          </w:tcPr>
          <w:p>
            <w:pPr>
              <w:jc w:val="right"/>
              <w:ind w:right="60"/>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restricted cash</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Free cash flow (Non-GAAP)</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w:t>
            </w:r>
          </w:p>
        </w:tc>
        <w:tc>
          <w:tcPr>
            <w:tcW w:w="20" w:type="dxa"/>
            <w:vAlign w:val="bottom"/>
            <w:tcBorders>
              <w:bottom w:val="single" w:sz="8" w:color="auto"/>
            </w:tcBorders>
          </w:tcPr>
          <w:p>
            <w:pPr>
              <w:spacing w:after="0"/>
              <w:rPr>
                <w:sz w:val="18"/>
                <w:szCs w:val="18"/>
                <w:color w:val="auto"/>
              </w:rPr>
            </w:pPr>
          </w:p>
        </w:tc>
        <w:tc>
          <w:tcPr>
            <w:tcW w:w="1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2,312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3,301</w:t>
            </w:r>
          </w:p>
        </w:tc>
        <w:tc>
          <w:tcPr>
            <w:tcW w:w="180" w:type="dxa"/>
            <w:vAlign w:val="bottom"/>
            <w:gridSpan w:val="3"/>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6"/>
                <w:szCs w:val="16"/>
                <w:color w:val="auto"/>
              </w:rPr>
              <w:t>March 31,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35"/>
        </w:trPr>
        <w:tc>
          <w:tcPr>
            <w:tcW w:w="6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Adjusted Total Debt, Adjusted Net Debt and Net Leverage </w:t>
            </w:r>
            <w:r>
              <w:rPr>
                <w:rFonts w:ascii="Arial" w:cs="Arial" w:eastAsia="Arial" w:hAnsi="Arial"/>
                <w:sz w:val="16"/>
                <w:szCs w:val="16"/>
                <w:color w:val="auto"/>
              </w:rPr>
              <w:t>(in millions)</w:t>
            </w: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restart"/>
          </w:tcPr>
          <w:p>
            <w:pPr>
              <w:jc w:val="right"/>
              <w:ind w:right="118"/>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jc w:val="right"/>
              <w:ind w:right="218"/>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finance lease obligations and other financial liabilities - current and noncurrent (GAAP)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4"/>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18"/>
              <w:spacing w:after="0"/>
              <w:rPr>
                <w:sz w:val="20"/>
                <w:szCs w:val="20"/>
                <w:color w:val="auto"/>
              </w:rPr>
            </w:pPr>
            <w:r>
              <w:rPr>
                <w:rFonts w:ascii="Arial" w:cs="Arial" w:eastAsia="Arial" w:hAnsi="Arial"/>
                <w:sz w:val="16"/>
                <w:szCs w:val="16"/>
                <w:color w:val="auto"/>
              </w:rPr>
              <w:t>(3,470)</w:t>
            </w:r>
          </w:p>
        </w:tc>
        <w:tc>
          <w:tcPr>
            <w:tcW w:w="0" w:type="dxa"/>
            <w:vAlign w:val="bottom"/>
          </w:tcPr>
          <w:p>
            <w:pPr>
              <w:spacing w:after="0"/>
              <w:rPr>
                <w:sz w:val="1"/>
                <w:szCs w:val="1"/>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Operating lease obligations - current and noncurrent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5,262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358"/>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liabilities - noncurrent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Adjusted total debt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34,177</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318"/>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4"/>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18"/>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Short-term investments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5,960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358"/>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debt (Non-GAAP)</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4"/>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leverage (Non-GAAP)</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18"/>
              <w:spacing w:after="0"/>
              <w:rPr>
                <w:sz w:val="20"/>
                <w:szCs w:val="20"/>
                <w:color w:val="auto"/>
              </w:rPr>
            </w:pPr>
            <w:r>
              <w:rPr>
                <w:rFonts w:ascii="Arial" w:cs="Arial" w:eastAsia="Arial" w:hAnsi="Arial"/>
                <w:sz w:val="16"/>
                <w:szCs w:val="16"/>
                <w:color w:val="auto"/>
              </w:rPr>
              <w:t>— pts.</w:t>
            </w:r>
          </w:p>
        </w:tc>
        <w:tc>
          <w:tcPr>
            <w:tcW w:w="0" w:type="dxa"/>
            <w:vAlign w:val="bottom"/>
          </w:tcPr>
          <w:p>
            <w:pPr>
              <w:spacing w:after="0" w:line="20" w:lineRule="exact"/>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6860" w:type="dxa"/>
            <w:vAlign w:val="bottom"/>
          </w:tcPr>
          <w:p>
            <w:pPr>
              <w:jc w:val="center"/>
              <w:ind w:left="431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NON-GAAP FINANCIAL INFORMATION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Three Months Ended March 31,</w:t>
            </w:r>
          </w:p>
        </w:tc>
        <w:tc>
          <w:tcPr>
            <w:tcW w:w="1060" w:type="dxa"/>
            <w:vAlign w:val="bottom"/>
            <w:gridSpan w:val="2"/>
          </w:tcPr>
          <w:p>
            <w:pPr>
              <w:jc w:val="center"/>
              <w:ind w:left="399"/>
              <w:spacing w:after="0"/>
              <w:rPr>
                <w:sz w:val="20"/>
                <w:szCs w:val="20"/>
                <w:color w:val="auto"/>
              </w:rPr>
            </w:pPr>
            <w:r>
              <w:rPr>
                <w:rFonts w:ascii="Arial" w:cs="Arial" w:eastAsia="Arial" w:hAnsi="Arial"/>
                <w:sz w:val="16"/>
                <w:szCs w:val="16"/>
                <w:color w:val="auto"/>
                <w:w w:val="98"/>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360" w:type="dxa"/>
            <w:vAlign w:val="bottom"/>
            <w:vMerge w:val="restart"/>
          </w:tcPr>
          <w:p>
            <w:pPr>
              <w:ind w:left="20"/>
              <w:spacing w:after="0"/>
              <w:rPr>
                <w:sz w:val="20"/>
                <w:szCs w:val="20"/>
                <w:color w:val="auto"/>
              </w:rPr>
            </w:pPr>
            <w:r>
              <w:rPr>
                <w:rFonts w:ascii="Arial" w:cs="Arial" w:eastAsia="Arial" w:hAnsi="Arial"/>
                <w:sz w:val="16"/>
                <w:szCs w:val="16"/>
                <w:color w:val="auto"/>
              </w:rPr>
              <w:t>(in millions, except for percentage changes and per share data)</w:t>
            </w:r>
          </w:p>
        </w:tc>
        <w:tc>
          <w:tcPr>
            <w:tcW w:w="220" w:type="dxa"/>
            <w:vAlign w:val="bottom"/>
          </w:tcPr>
          <w:p>
            <w:pPr>
              <w:spacing w:after="0"/>
              <w:rPr>
                <w:sz w:val="12"/>
                <w:szCs w:val="12"/>
                <w:color w:val="auto"/>
              </w:rPr>
            </w:pPr>
          </w:p>
        </w:tc>
        <w:tc>
          <w:tcPr>
            <w:tcW w:w="860" w:type="dxa"/>
            <w:vAlign w:val="bottom"/>
            <w:vMerge w:val="restart"/>
          </w:tcPr>
          <w:p>
            <w:pPr>
              <w:jc w:val="right"/>
              <w:ind w:right="259"/>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59"/>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excluding special charges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Fuel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60"/>
              <w:spacing w:after="0"/>
              <w:rPr>
                <w:sz w:val="20"/>
                <w:szCs w:val="20"/>
                <w:color w:val="auto"/>
              </w:rPr>
            </w:pPr>
            <w:r>
              <w:rPr>
                <w:rFonts w:ascii="Arial" w:cs="Arial" w:eastAsia="Arial" w:hAnsi="Arial"/>
                <w:sz w:val="16"/>
                <w:szCs w:val="16"/>
                <w:color w:val="auto"/>
              </w:rPr>
              <w:t>Profit sharing</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Third-party business expenses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color w:val="auto"/>
              </w:rPr>
              <w:t>Adjusted operating expenses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10,836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i w:val="1"/>
                <w:iCs w:val="1"/>
                <w:color w:val="auto"/>
              </w:rPr>
              <w:t>Operating margin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4.6 %</w:t>
            </w:r>
          </w:p>
        </w:tc>
        <w:tc>
          <w:tcPr>
            <w:tcW w:w="1060" w:type="dxa"/>
            <w:vAlign w:val="bottom"/>
            <w:gridSpan w:val="2"/>
          </w:tcPr>
          <w:p>
            <w:pPr>
              <w:jc w:val="right"/>
              <w:spacing w:after="0"/>
              <w:rPr>
                <w:sz w:val="20"/>
                <w:szCs w:val="20"/>
                <w:color w:val="auto"/>
              </w:rPr>
            </w:pPr>
            <w:r>
              <w:rPr>
                <w:rFonts w:ascii="Arial" w:cs="Arial" w:eastAsia="Arial" w:hAnsi="Arial"/>
                <w:sz w:val="16"/>
                <w:szCs w:val="16"/>
                <w:i w:val="1"/>
                <w:iCs w:val="1"/>
                <w:color w:val="auto"/>
              </w:rPr>
              <w:t>2.2</w:t>
            </w:r>
          </w:p>
        </w:tc>
        <w:tc>
          <w:tcPr>
            <w:tcW w:w="380" w:type="dxa"/>
            <w:vAlign w:val="bottom"/>
          </w:tcPr>
          <w:p>
            <w:pPr>
              <w:ind w:left="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4.2 %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3.8 %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0.4</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color w:val="auto"/>
              </w:rPr>
              <w:t>Adjusted pre-tax income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 (GAAP)</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6.0 %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2.3</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3.4 %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3.0 %</w:t>
            </w:r>
          </w:p>
        </w:tc>
        <w:tc>
          <w:tcPr>
            <w:tcW w:w="1060" w:type="dxa"/>
            <w:vAlign w:val="bottom"/>
            <w:gridSpan w:val="2"/>
          </w:tcPr>
          <w:p>
            <w:pPr>
              <w:jc w:val="right"/>
              <w:spacing w:after="0"/>
              <w:rPr>
                <w:sz w:val="20"/>
                <w:szCs w:val="20"/>
                <w:color w:val="auto"/>
              </w:rPr>
            </w:pPr>
            <w:r>
              <w:rPr>
                <w:rFonts w:ascii="Arial" w:cs="Arial" w:eastAsia="Arial" w:hAnsi="Arial"/>
                <w:sz w:val="16"/>
                <w:szCs w:val="16"/>
                <w:i w:val="1"/>
                <w:iCs w:val="1"/>
                <w:color w:val="auto"/>
              </w:rPr>
              <w:t>0.4</w:t>
            </w:r>
          </w:p>
        </w:tc>
        <w:tc>
          <w:tcPr>
            <w:tcW w:w="380" w:type="dxa"/>
            <w:vAlign w:val="bottom"/>
          </w:tcPr>
          <w:p>
            <w:pPr>
              <w:ind w:left="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72"/>
        </w:trPr>
        <w:tc>
          <w:tcPr>
            <w:tcW w:w="7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 tax expense on adjustments, net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 earnings per share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 tax expense on adjustments, net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20" w:type="dxa"/>
            <w:vAlign w:val="bottom"/>
            <w:vMerge w:val="restart"/>
          </w:tcPr>
          <w:p>
            <w:pPr>
              <w:ind w:left="6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6"/>
                <w:szCs w:val="16"/>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6"/>
                <w:szCs w:val="16"/>
                <w:color w:val="auto"/>
              </w:rPr>
              <w:t>March 31, 2026</w:t>
            </w:r>
          </w:p>
        </w:tc>
        <w:tc>
          <w:tcPr>
            <w:tcW w:w="120" w:type="dxa"/>
            <w:vAlign w:val="bottom"/>
          </w:tcPr>
          <w:p>
            <w:pPr>
              <w:spacing w:after="0"/>
              <w:rPr>
                <w:sz w:val="16"/>
                <w:szCs w:val="16"/>
                <w:color w:val="auto"/>
              </w:rPr>
            </w:pPr>
          </w:p>
        </w:tc>
        <w:tc>
          <w:tcPr>
            <w:tcW w:w="1580" w:type="dxa"/>
            <w:vAlign w:val="bottom"/>
            <w:vMerge w:val="restart"/>
          </w:tcPr>
          <w:p>
            <w:pPr>
              <w:jc w:val="right"/>
              <w:ind w:right="59"/>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15"/>
        </w:trPr>
        <w:tc>
          <w:tcPr>
            <w:tcW w:w="7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6,298</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net</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16,857</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property and equipment, net</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46,121</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4,958</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affiliates and other, net</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61,549</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59,591</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80,941</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76,448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Accrued salaries and benefits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Advance ticket sales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3,721</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long-term debt, finance leases, and other financial liabilities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27,781</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26,133</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finance leases, and other financial liabilities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20,562</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Frequent flyer deferred revenue</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Pension and postretirement benefit liability</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15,876</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80,941</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76,448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6"/>
                <w:szCs w:val="16"/>
                <w:color w:val="auto"/>
              </w:rPr>
              <w:t>14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8140" w:type="dxa"/>
            <w:vAlign w:val="bottom"/>
          </w:tcPr>
          <w:p>
            <w:pPr>
              <w:ind w:left="6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8140" w:type="dxa"/>
            <w:vAlign w:val="bottom"/>
            <w:vMerge w:val="restart"/>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56"/>
        </w:trPr>
        <w:tc>
          <w:tcPr>
            <w:tcW w:w="8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short-term and other investments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sale of short-term and other investments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37"/>
        </w:trPr>
        <w:tc>
          <w:tcPr>
            <w:tcW w:w="8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issuance of debt and other financial liabilities, net of discounts and fees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long-term debt, finance leases and other financial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the period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assets acquired or modified through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62"/>
        </w:trPr>
        <w:tc>
          <w:tcPr>
            <w:tcW w:w="8140" w:type="dxa"/>
            <w:vAlign w:val="bottom"/>
          </w:tcPr>
          <w:p>
            <w:pPr>
              <w:ind w:left="12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 debt, finance leases and other</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 converted to finance leases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Investment interests received in exchange for loans, goods and services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 The following table provides a reconciliation of cash, cash equivalents and restricted cash to amounts reported within the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9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Restricted cash in Prepaid expenses and other</w:t>
            </w:r>
          </w:p>
        </w:tc>
        <w:tc>
          <w:tcPr>
            <w:tcW w:w="3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 Investments in affiliates and other, net</w:t>
            </w:r>
          </w:p>
        </w:tc>
        <w:tc>
          <w:tcPr>
            <w:tcW w:w="3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346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60" w:type="dxa"/>
            <w:vAlign w:val="bottom"/>
            <w:vMerge w:val="restart"/>
          </w:tcPr>
          <w:p>
            <w:pPr>
              <w:jc w:val="right"/>
              <w:ind w:right="2459"/>
              <w:spacing w:after="0"/>
              <w:rPr>
                <w:sz w:val="20"/>
                <w:szCs w:val="20"/>
                <w:color w:val="auto"/>
              </w:rPr>
            </w:pPr>
            <w:r>
              <w:rPr>
                <w:rFonts w:ascii="Arial" w:cs="Arial" w:eastAsia="Arial" w:hAnsi="Arial"/>
                <w:sz w:val="16"/>
                <w:szCs w:val="16"/>
                <w:color w:val="auto"/>
              </w:rPr>
              <w:t>15</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48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United Airlines Reports First-Quarter 2026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80" w:type="dxa"/>
            <w:vAlign w:val="bottom"/>
          </w:tcPr>
          <w:p>
            <w:pPr>
              <w:spacing w:after="0"/>
              <w:rPr>
                <w:sz w:val="20"/>
                <w:szCs w:val="20"/>
                <w:color w:val="auto"/>
              </w:rPr>
            </w:pPr>
            <w:r>
              <w:rPr>
                <w:rFonts w:ascii="Arial" w:cs="Arial" w:eastAsia="Arial" w:hAnsi="Arial"/>
                <w:sz w:val="16"/>
                <w:szCs w:val="16"/>
                <w:b w:val="1"/>
                <w:bCs w:val="1"/>
                <w:color w:val="auto"/>
              </w:rPr>
              <w:t>Special charges (credits) and unrealized losses on investments, net include the following:</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3"/>
        </w:trPr>
        <w:tc>
          <w:tcPr>
            <w:tcW w:w="9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38"/>
              <w:spacing w:after="0"/>
              <w:rPr>
                <w:sz w:val="20"/>
                <w:szCs w:val="20"/>
                <w:color w:val="auto"/>
              </w:rPr>
            </w:pPr>
            <w:r>
              <w:rPr>
                <w:rFonts w:ascii="Arial" w:cs="Arial" w:eastAsia="Arial" w:hAnsi="Arial"/>
                <w:sz w:val="16"/>
                <w:szCs w:val="16"/>
                <w:color w:val="auto"/>
              </w:rPr>
              <w:t>Three Months Ended</w:t>
            </w:r>
          </w:p>
        </w:tc>
      </w:tr>
      <w:tr>
        <w:trPr>
          <w:trHeight w:val="215"/>
        </w:trPr>
        <w:tc>
          <w:tcPr>
            <w:tcW w:w="9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6"/>
                <w:szCs w:val="16"/>
                <w:color w:val="auto"/>
              </w:rPr>
              <w:t>March 31,</w:t>
            </w:r>
          </w:p>
        </w:tc>
      </w:tr>
      <w:tr>
        <w:trPr>
          <w:trHeight w:val="224"/>
        </w:trPr>
        <w:tc>
          <w:tcPr>
            <w:tcW w:w="92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2025</w:t>
            </w:r>
          </w:p>
        </w:tc>
      </w:tr>
      <w:tr>
        <w:trPr>
          <w:trHeight w:val="195"/>
        </w:trPr>
        <w:tc>
          <w:tcPr>
            <w:tcW w:w="9280" w:type="dxa"/>
            <w:vAlign w:val="bottom"/>
          </w:tcPr>
          <w:p>
            <w:pPr>
              <w:ind w:left="20"/>
              <w:spacing w:after="0"/>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9"/>
        </w:trPr>
        <w:tc>
          <w:tcPr>
            <w:tcW w:w="9280" w:type="dxa"/>
            <w:vAlign w:val="bottom"/>
          </w:tcPr>
          <w:p>
            <w:pPr>
              <w:ind w:left="20"/>
              <w:spacing w:after="0"/>
              <w:rPr>
                <w:sz w:val="20"/>
                <w:szCs w:val="20"/>
                <w:color w:val="auto"/>
              </w:rPr>
            </w:pPr>
            <w:r>
              <w:rPr>
                <w:rFonts w:ascii="Arial" w:cs="Arial" w:eastAsia="Arial" w:hAnsi="Arial"/>
                <w:sz w:val="16"/>
                <w:szCs w:val="16"/>
                <w:color w:val="auto"/>
              </w:rPr>
              <w:t>Total operating special charges (credits)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1"/>
        </w:trPr>
        <w:tc>
          <w:tcPr>
            <w:tcW w:w="9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15"/>
        </w:trPr>
        <w:tc>
          <w:tcPr>
            <w:tcW w:w="9280" w:type="dxa"/>
            <w:vAlign w:val="bottom"/>
          </w:tcPr>
          <w:p>
            <w:pPr>
              <w:ind w:left="20"/>
              <w:spacing w:after="0"/>
              <w:rPr>
                <w:sz w:val="20"/>
                <w:szCs w:val="20"/>
                <w:color w:val="auto"/>
              </w:rPr>
            </w:pPr>
            <w:r>
              <w:rPr>
                <w:rFonts w:ascii="Arial" w:cs="Arial" w:eastAsia="Arial" w:hAnsi="Arial"/>
                <w:sz w:val="16"/>
                <w:szCs w:val="16"/>
                <w:color w:val="auto"/>
              </w:rPr>
              <w:t>Nonoperating: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unrealized losses on investments, net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debt extinguishment and modification fees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nonoperating special charges and unrealized losses on investments,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9280" w:type="dxa"/>
            <w:vAlign w:val="bottom"/>
          </w:tcPr>
          <w:p>
            <w:pPr>
              <w:ind w:left="20"/>
              <w:spacing w:after="0"/>
              <w:rPr>
                <w:sz w:val="20"/>
                <w:szCs w:val="20"/>
                <w:color w:val="auto"/>
              </w:rPr>
            </w:pPr>
            <w:r>
              <w:rPr>
                <w:rFonts w:ascii="Arial" w:cs="Arial" w:eastAsia="Arial" w:hAnsi="Arial"/>
                <w:sz w:val="16"/>
                <w:szCs w:val="16"/>
                <w:color w:val="auto"/>
              </w:rPr>
              <w:t>Total operating and nonoperating special charges (credits) and unrealized losses on investments, net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net of valuation allowance</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9280" w:type="dxa"/>
            <w:vAlign w:val="bottom"/>
          </w:tcPr>
          <w:p>
            <w:pPr>
              <w:ind w:left="200"/>
              <w:spacing w:after="0"/>
              <w:rPr>
                <w:sz w:val="20"/>
                <w:szCs w:val="20"/>
                <w:color w:val="auto"/>
              </w:rPr>
            </w:pPr>
            <w:r>
              <w:rPr>
                <w:rFonts w:ascii="Arial" w:cs="Arial" w:eastAsia="Arial" w:hAnsi="Arial"/>
                <w:sz w:val="16"/>
                <w:szCs w:val="16"/>
                <w:color w:val="auto"/>
              </w:rPr>
              <w:t>Total operating and nonoperating special charges (credits) and unrealized losses on investments, net of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9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During the three months ended March 31, 2026, and 2025, the company recorded $389 million and $108 million, respectively, of net gains on sale of assets and other special charges, which were primarily comprised of $444 million and $110 million, respectively, of gains on various aircraft sale-leaseback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rates were as follows:</w:t>
      </w:r>
    </w:p>
    <w:p>
      <w:pPr>
        <w:spacing w:after="0" w:line="5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color w:val="auto"/>
              </w:rPr>
              <w:t>2025</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bl>
    <w:p>
      <w:pPr>
        <w:spacing w:after="0" w:line="22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provision for income taxes is based on the estimated annual effective tax rate, which represents a blend of federal, state and foreign taxes and includes the impact of certain nondeductible items.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74879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9240" w:val="left"/>
        </w:tabs>
        <w:rPr>
          <w:sz w:val="20"/>
          <w:szCs w:val="20"/>
          <w:color w:val="auto"/>
        </w:rPr>
      </w:pPr>
      <w:r>
        <w:rPr>
          <w:rFonts w:ascii="Arial" w:cs="Arial" w:eastAsia="Arial" w:hAnsi="Arial"/>
          <w:sz w:val="16"/>
          <w:szCs w:val="16"/>
          <w:b w:val="1"/>
          <w:bCs w:val="1"/>
          <w:color w:val="auto"/>
        </w:rPr>
        <w:t>Investor Update</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6"/>
          <w:szCs w:val="16"/>
          <w:b w:val="1"/>
          <w:bCs w:val="1"/>
          <w:color w:val="auto"/>
        </w:rPr>
        <w:t>Issue Date: April 21, 2026</w:t>
      </w:r>
    </w:p>
    <w:p>
      <w:pPr>
        <w:spacing w:after="0" w:line="24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This Investor Update provides guidance and certain other forward-looking statements about United Airlines Holdings, Inc. (the "Company"). The information in this Investor Update contains the preliminary financial and operational outlook for the second-quarter 2026 and beyond, among other items.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440" w:type="dxa"/>
            <w:vAlign w:val="bottom"/>
          </w:tcPr>
          <w:p>
            <w:pPr>
              <w:ind w:left="1320"/>
              <w:spacing w:after="0"/>
              <w:rPr>
                <w:sz w:val="20"/>
                <w:szCs w:val="20"/>
                <w:color w:val="auto"/>
              </w:rPr>
            </w:pPr>
            <w:r>
              <w:rPr>
                <w:rFonts w:ascii="Arial" w:cs="Arial" w:eastAsia="Arial" w:hAnsi="Arial"/>
                <w:sz w:val="16"/>
                <w:szCs w:val="16"/>
                <w:b w:val="1"/>
                <w:bCs w:val="1"/>
                <w:color w:val="auto"/>
              </w:rPr>
              <w:t>Estimated</w:t>
            </w:r>
          </w:p>
        </w:tc>
        <w:tc>
          <w:tcPr>
            <w:tcW w:w="3500" w:type="dxa"/>
            <w:vAlign w:val="bottom"/>
          </w:tcPr>
          <w:p>
            <w:pPr>
              <w:jc w:val="center"/>
              <w:spacing w:after="0"/>
              <w:rPr>
                <w:sz w:val="20"/>
                <w:szCs w:val="20"/>
                <w:color w:val="auto"/>
              </w:rPr>
            </w:pPr>
            <w:r>
              <w:rPr>
                <w:rFonts w:ascii="Arial" w:cs="Arial" w:eastAsia="Arial" w:hAnsi="Arial"/>
                <w:sz w:val="16"/>
                <w:szCs w:val="16"/>
                <w:b w:val="1"/>
                <w:bCs w:val="1"/>
                <w:color w:val="auto"/>
                <w:w w:val="99"/>
              </w:rPr>
              <w:t>Estimated</w:t>
            </w:r>
          </w:p>
        </w:tc>
      </w:tr>
      <w:tr>
        <w:trPr>
          <w:trHeight w:val="216"/>
        </w:trPr>
        <w:tc>
          <w:tcPr>
            <w:tcW w:w="428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2Q 2026</w:t>
            </w: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FY 2026</w:t>
            </w:r>
          </w:p>
        </w:tc>
      </w:tr>
      <w:tr>
        <w:trPr>
          <w:trHeight w:val="223"/>
        </w:trPr>
        <w:tc>
          <w:tcPr>
            <w:tcW w:w="4280" w:type="dxa"/>
            <w:vAlign w:val="bottom"/>
            <w:shd w:val="clear" w:color="auto" w:fill="CCEEFF"/>
          </w:tcPr>
          <w:p>
            <w:pPr>
              <w:ind w:left="40"/>
              <w:spacing w:after="0" w:line="223"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2</w:t>
            </w:r>
          </w:p>
        </w:tc>
        <w:tc>
          <w:tcPr>
            <w:tcW w:w="3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$1.00 - $2.00</w:t>
            </w:r>
          </w:p>
        </w:tc>
        <w:tc>
          <w:tcPr>
            <w:tcW w:w="350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$7.00 - $11.00</w:t>
            </w:r>
          </w:p>
        </w:tc>
      </w:tr>
      <w:tr>
        <w:trPr>
          <w:trHeight w:val="215"/>
        </w:trPr>
        <w:tc>
          <w:tcPr>
            <w:tcW w:w="4280" w:type="dxa"/>
            <w:vAlign w:val="bottom"/>
          </w:tcPr>
          <w:p>
            <w:pPr>
              <w:ind w:left="40"/>
              <w:spacing w:after="0"/>
              <w:rPr>
                <w:sz w:val="20"/>
                <w:szCs w:val="20"/>
                <w:color w:val="auto"/>
              </w:rPr>
            </w:pPr>
            <w:r>
              <w:rPr>
                <w:rFonts w:ascii="Arial" w:cs="Arial" w:eastAsia="Arial" w:hAnsi="Arial"/>
                <w:sz w:val="16"/>
                <w:szCs w:val="16"/>
                <w:color w:val="auto"/>
              </w:rPr>
              <w:t>Average aircraft fuel price per gallon</w:t>
            </w:r>
          </w:p>
        </w:tc>
        <w:tc>
          <w:tcPr>
            <w:tcW w:w="3440" w:type="dxa"/>
            <w:vAlign w:val="bottom"/>
          </w:tcPr>
          <w:p>
            <w:pPr>
              <w:jc w:val="center"/>
              <w:spacing w:after="0"/>
              <w:rPr>
                <w:sz w:val="20"/>
                <w:szCs w:val="20"/>
                <w:color w:val="auto"/>
              </w:rPr>
            </w:pPr>
            <w:r>
              <w:rPr>
                <w:rFonts w:ascii="Arial" w:cs="Arial" w:eastAsia="Arial" w:hAnsi="Arial"/>
                <w:sz w:val="16"/>
                <w:szCs w:val="16"/>
                <w:color w:val="auto"/>
              </w:rPr>
              <w:t>~$4.30</w:t>
            </w:r>
          </w:p>
        </w:tc>
        <w:tc>
          <w:tcPr>
            <w:tcW w:w="3500" w:type="dxa"/>
            <w:vAlign w:val="bottom"/>
          </w:tcPr>
          <w:p>
            <w:pPr>
              <w:jc w:val="right"/>
              <w:ind w:right="1619"/>
              <w:spacing w:after="0"/>
              <w:rPr>
                <w:sz w:val="20"/>
                <w:szCs w:val="20"/>
                <w:color w:val="auto"/>
              </w:rPr>
            </w:pPr>
            <w:r>
              <w:rPr>
                <w:rFonts w:ascii="Arial" w:cs="Arial" w:eastAsia="Arial" w:hAnsi="Arial"/>
                <w:sz w:val="16"/>
                <w:szCs w:val="16"/>
                <w:color w:val="auto"/>
              </w:rPr>
              <w:t>-</w:t>
            </w:r>
          </w:p>
        </w:tc>
      </w:tr>
      <w:tr>
        <w:trPr>
          <w:trHeight w:val="244"/>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total capital expenditures (in billions)</w:t>
            </w:r>
            <w:r>
              <w:rPr>
                <w:rFonts w:ascii="Arial" w:cs="Arial" w:eastAsia="Arial" w:hAnsi="Arial"/>
                <w:sz w:val="21"/>
                <w:szCs w:val="21"/>
                <w:color w:val="auto"/>
                <w:vertAlign w:val="superscript"/>
              </w:rPr>
              <w:t>3</w:t>
            </w:r>
          </w:p>
        </w:tc>
        <w:tc>
          <w:tcPr>
            <w:tcW w:w="3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Less than $8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Revenue</w:t>
      </w:r>
    </w:p>
    <w:p>
      <w:pPr>
        <w:spacing w:after="0" w:line="3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Guidance assumes United’s revenue recovers 40% to 50% of the fuel price increases in the second quarter, 70% to 80% of the fuel price increases in the third quarter and 85% to 100% of the fuel price increases in the fourth quarter 2026.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1"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Based on the current fuel environment, the Company is targeting year-over-year capacity to be flat to up approximately 2% in both the third and fourth quarters of 2026.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Fuel</w:t>
      </w:r>
    </w:p>
    <w:p>
      <w:pPr>
        <w:spacing w:after="0" w:line="5" w:lineRule="exact"/>
        <w:rPr>
          <w:sz w:val="20"/>
          <w:szCs w:val="20"/>
          <w:color w:val="auto"/>
        </w:rPr>
      </w:pPr>
    </w:p>
    <w:p>
      <w:pPr>
        <w:ind w:right="60"/>
        <w:spacing w:after="0" w:line="214" w:lineRule="auto"/>
        <w:rPr>
          <w:sz w:val="20"/>
          <w:szCs w:val="20"/>
          <w:color w:val="auto"/>
        </w:rPr>
      </w:pPr>
      <w:r>
        <w:rPr>
          <w:rFonts w:ascii="Arial" w:cs="Arial" w:eastAsia="Arial" w:hAnsi="Arial"/>
          <w:sz w:val="16"/>
          <w:szCs w:val="16"/>
          <w:color w:val="auto"/>
        </w:rPr>
        <w:t>The Company’s adjusted diluted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guidance for the second quarter and full-year 2026 assumes the Gulf Coast jet forward curve as of Friday, April 17, 2026. Fuel remains highly volatile. If prices remain on a downward trend the Company expects to be in the upper half of the adjusted diluted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guidance ranges for each of the second quarter and full year 2026, and if fuel re-escalates the Company expects to be in the lower half of the adjusted diluted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guidance ranges for each of the second quarter and full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8"/>
        <w:spacing w:after="0" w:line="229" w:lineRule="auto"/>
        <w:tabs>
          <w:tab w:leader="none" w:pos="9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and in Part I, Item 1A. Risk Factors and in </w:t>
      </w:r>
      <w:r>
        <w:rPr>
          <w:rFonts w:ascii="Arial" w:cs="Arial" w:eastAsia="Arial" w:hAnsi="Arial"/>
          <w:sz w:val="16"/>
          <w:szCs w:val="16"/>
          <w:color w:val="auto"/>
        </w:rPr>
        <w:t>"</w:t>
      </w:r>
      <w:r>
        <w:rPr>
          <w:rFonts w:ascii="Arial" w:cs="Arial" w:eastAsia="Arial" w:hAnsi="Arial"/>
          <w:sz w:val="14"/>
          <w:szCs w:val="14"/>
          <w:color w:val="auto"/>
        </w:rPr>
        <w:t>Economic and Market Factors</w:t>
      </w:r>
      <w:r>
        <w:rPr>
          <w:rFonts w:ascii="Arial" w:cs="Arial" w:eastAsia="Arial" w:hAnsi="Arial"/>
          <w:sz w:val="16"/>
          <w:szCs w:val="16"/>
          <w:color w:val="auto"/>
        </w:rPr>
        <w:t>"</w:t>
      </w:r>
      <w:r>
        <w:rPr>
          <w:rFonts w:ascii="Arial" w:cs="Arial" w:eastAsia="Arial" w:hAnsi="Arial"/>
          <w:sz w:val="14"/>
          <w:szCs w:val="14"/>
          <w:color w:val="auto"/>
        </w:rPr>
        <w:t xml:space="preserve"> and </w:t>
      </w:r>
      <w:r>
        <w:rPr>
          <w:rFonts w:ascii="Arial" w:cs="Arial" w:eastAsia="Arial" w:hAnsi="Arial"/>
          <w:sz w:val="16"/>
          <w:szCs w:val="16"/>
          <w:color w:val="auto"/>
        </w:rPr>
        <w:t>"</w:t>
      </w:r>
      <w:r>
        <w:rPr>
          <w:rFonts w:ascii="Arial" w:cs="Arial" w:eastAsia="Arial" w:hAnsi="Arial"/>
          <w:sz w:val="14"/>
          <w:szCs w:val="14"/>
          <w:color w:val="auto"/>
        </w:rPr>
        <w:t>Governmental Actions</w:t>
      </w:r>
      <w:r>
        <w:rPr>
          <w:rFonts w:ascii="Arial" w:cs="Arial" w:eastAsia="Arial" w:hAnsi="Arial"/>
          <w:sz w:val="16"/>
          <w:szCs w:val="16"/>
          <w:color w:val="auto"/>
        </w:rPr>
        <w:t>"</w:t>
      </w:r>
      <w:r>
        <w:rPr>
          <w:rFonts w:ascii="Arial" w:cs="Arial" w:eastAsia="Arial" w:hAnsi="Arial"/>
          <w:sz w:val="14"/>
          <w:szCs w:val="14"/>
          <w:color w:val="auto"/>
        </w:rPr>
        <w:t xml:space="preserve"> in Part II, Item 7. Management’s Discussion and Analysis of Financial Condition and Results of Operations of the Company’s Annual Report on Form 10-K for the fiscal year ended December 31, 2025 as well as other risks and uncertainties set forth from time to time in the reports we file with the U.S. Securities and Exchange Commission (the </w:t>
      </w:r>
      <w:r>
        <w:rPr>
          <w:rFonts w:ascii="Arial" w:cs="Arial" w:eastAsia="Arial" w:hAnsi="Arial"/>
          <w:sz w:val="16"/>
          <w:szCs w:val="16"/>
          <w:color w:val="auto"/>
        </w:rPr>
        <w:t>"</w:t>
      </w:r>
      <w:r>
        <w:rPr>
          <w:rFonts w:ascii="Arial" w:cs="Arial" w:eastAsia="Arial" w:hAnsi="Arial"/>
          <w:sz w:val="14"/>
          <w:szCs w:val="14"/>
          <w:color w:val="auto"/>
        </w:rPr>
        <w:t>SEC</w:t>
      </w:r>
      <w:r>
        <w:rPr>
          <w:rFonts w:ascii="Arial" w:cs="Arial" w:eastAsia="Arial" w:hAnsi="Arial"/>
          <w:sz w:val="16"/>
          <w:szCs w:val="16"/>
          <w:color w:val="auto"/>
        </w:rPr>
        <w:t>"</w:t>
      </w:r>
      <w:r>
        <w:rPr>
          <w:rFonts w:ascii="Arial" w:cs="Arial" w:eastAsia="Arial" w:hAnsi="Arial"/>
          <w:sz w:val="14"/>
          <w:szCs w:val="14"/>
          <w:color w:val="auto"/>
        </w:rPr>
        <w:t>). The guidance is only effective as of the date given and should not be considered updated or affirmed unless and until we publicly announce updated or affirmed guidance. We undertake no obligation to update our guidance. Management will also discuss certain business outlook items during its regularly scheduled quarterly earnings conference call on April 22, 2026. This Investor Update should be read in conjunction with the Company's earnings release issued in connection with this Investor Update and its filings with the SEC.</w:t>
      </w:r>
    </w:p>
    <w:p>
      <w:pPr>
        <w:ind w:right="80"/>
        <w:spacing w:after="0" w:line="225"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Adjusted diluted earnings per share is a non-GAAP financial measure that excludes operating and non-operating special charges, unrealized (gains) losses on investments, net, and income tax expense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spacing w:after="0" w:line="1" w:lineRule="exact"/>
        <w:rPr>
          <w:rFonts w:ascii="Arial" w:cs="Arial" w:eastAsia="Arial" w:hAnsi="Arial"/>
          <w:sz w:val="19"/>
          <w:szCs w:val="19"/>
          <w:color w:val="auto"/>
          <w:vertAlign w:val="superscript"/>
        </w:rPr>
      </w:pPr>
    </w:p>
    <w:p>
      <w:pPr>
        <w:ind w:right="100"/>
        <w:spacing w:after="0" w:line="26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Adjusted total capital expenditures is a non-GAAP financial measure calculated as capital expenditures, net of flight equipment purchase deposit returns, plus property and</w:t>
      </w:r>
      <w:r>
        <w:rPr>
          <w:rFonts w:ascii="Arial" w:cs="Arial" w:eastAsia="Arial" w:hAnsi="Arial"/>
          <w:sz w:val="9"/>
          <w:szCs w:val="9"/>
          <w:color w:val="auto"/>
        </w:rPr>
        <w:t xml:space="preserve"> </w:t>
      </w:r>
      <w:r>
        <w:rPr>
          <w:rFonts w:ascii="Arial" w:cs="Arial" w:eastAsia="Arial" w:hAnsi="Arial"/>
          <w:sz w:val="14"/>
          <w:szCs w:val="14"/>
          <w:color w:val="auto"/>
        </w:rPr>
        <w:t>equipment acquired through the issuance or modification of debt, finance leases, and other financial liabilities and operating leases converted to finance leases.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4" w:right="339" w:bottom="1440" w:gutter="0" w:footer="0" w:header="0"/>
        </w:sectPr>
      </w:pPr>
    </w:p>
    <w:bookmarkStart w:id="20" w:name="page21"/>
    <w:bookmarkEnd w:id="20"/>
    <w:p>
      <w:pPr>
        <w:spacing w:after="0" w:line="200" w:lineRule="exact"/>
        <w:rPr>
          <w:sz w:val="20"/>
          <w:szCs w:val="20"/>
          <w:color w:val="auto"/>
        </w:rPr>
      </w:pPr>
    </w:p>
    <w:p>
      <w:pPr>
        <w:spacing w:after="0" w:line="308"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b w:val="1"/>
          <w:bCs w:val="1"/>
          <w:u w:val="single" w:color="auto"/>
          <w:color w:val="auto"/>
        </w:rPr>
        <w:t>Profit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profit sharing plans in current labor agreements, the Company expects to accrue between $50 million and $95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2026. The accrual is based on the sum of the methodology below.</w:t>
      </w:r>
    </w:p>
    <w:p>
      <w:pPr>
        <w:spacing w:after="0" w:line="183" w:lineRule="exact"/>
        <w:rPr>
          <w:sz w:val="20"/>
          <w:szCs w:val="20"/>
          <w:color w:val="auto"/>
        </w:rPr>
      </w:pPr>
    </w:p>
    <w:p>
      <w:pPr>
        <w:ind w:left="660" w:right="340" w:hanging="328"/>
        <w:spacing w:after="0" w:line="248"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3.7% of total adjusted pre-tax earnings up to a 6.9% adjusted pre-tax margin, plus approximately 3.6% of total adjusted pre-tax earnings above a 6.9% adjusted pre-tax margin.</w:t>
      </w:r>
    </w:p>
    <w:p>
      <w:pPr>
        <w:ind w:left="660" w:right="100" w:hanging="328"/>
        <w:spacing w:after="0" w:line="23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5.9% of total adjusted pre-tax earnings up to $2.5 billion adjusted pre-tax earnings, plus approximately 11.7% of total adjusted pre-tax earnings above $2.5 billion adjusted pre-tax earnings.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3.3% for all adjusted pre-tax earnings above the prior year’s adjusted pre-tax earnings.</w:t>
      </w:r>
    </w:p>
    <w:p>
      <w:pPr>
        <w:spacing w:after="0" w:line="23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reference to the above calculation, profit sharing adjusted pre-tax earnings and adjusted pre-tax margin are non-GAAP financial measures that are defined in the Company’s profit sharing plan document and calculated as GAAP pre-tax income (loss) and pre-tax margin, excluding operating and non-operating special charges and unrealized (gains) losses on investments, net, profit sharing expense and share-based compensation program expense. The Company estimates that share-based compensation expense for the purposes of the profit sharing adjusted pre-tax earnings calculation will be approximately $42 million for the second quarter of 2026.</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Fleet Plan: </w:t>
            </w:r>
            <w:r>
              <w:rPr>
                <w:rFonts w:ascii="Arial" w:cs="Arial" w:eastAsia="Arial" w:hAnsi="Arial"/>
                <w:sz w:val="16"/>
                <w:szCs w:val="16"/>
                <w:color w:val="auto"/>
              </w:rPr>
              <w:t>As of April 21, 2026, the Company's fleet plan was as follows: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93"/>
        </w:trPr>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1Q 2026</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2Q 2026E</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3Q 2026E</w:t>
            </w: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YE 2026E</w:t>
            </w:r>
          </w:p>
        </w:tc>
      </w:tr>
      <w:tr>
        <w:trPr>
          <w:trHeight w:val="209"/>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B777-200/300</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r>
      <w:tr>
        <w:trPr>
          <w:trHeight w:val="215"/>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B787-8/9/10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101</w:t>
            </w:r>
          </w:p>
        </w:tc>
      </w:tr>
      <w:tr>
        <w:trPr>
          <w:trHeight w:val="217"/>
        </w:trPr>
        <w:tc>
          <w:tcPr>
            <w:tcW w:w="60" w:type="dxa"/>
            <w:vAlign w:val="bottom"/>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B767-300/400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r>
      <w:tr>
        <w:trPr>
          <w:trHeight w:val="215"/>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B757-200/300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r>
      <w:tr>
        <w:trPr>
          <w:trHeight w:val="305"/>
        </w:trPr>
        <w:tc>
          <w:tcPr>
            <w:tcW w:w="60" w:type="dxa"/>
            <w:vAlign w:val="bottom"/>
          </w:tcPr>
          <w:p>
            <w:pPr>
              <w:spacing w:after="0"/>
              <w:rPr>
                <w:sz w:val="24"/>
                <w:szCs w:val="24"/>
                <w:color w:val="auto"/>
              </w:rPr>
            </w:pPr>
          </w:p>
        </w:tc>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B737 MAX</w:t>
            </w:r>
          </w:p>
        </w:tc>
        <w:tc>
          <w:tcPr>
            <w:tcW w:w="110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7"/>
              </w:rPr>
              <w:t>268</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284</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303</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323</w:t>
            </w:r>
          </w:p>
        </w:tc>
      </w:tr>
      <w:tr>
        <w:trPr>
          <w:trHeight w:val="215"/>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B737-700/800/900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7"/>
              </w:rPr>
              <w:t>329</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r>
      <w:tr>
        <w:trPr>
          <w:trHeight w:val="217"/>
        </w:trPr>
        <w:tc>
          <w:tcPr>
            <w:tcW w:w="60" w:type="dxa"/>
            <w:vAlign w:val="bottom"/>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A319/A320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7"/>
              </w:rPr>
              <w:t>142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142</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w:t>
            </w:r>
          </w:p>
        </w:tc>
      </w:tr>
      <w:tr>
        <w:trPr>
          <w:trHeight w:val="215"/>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A321neo/XLR</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10"/>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Mainline Aircraft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w w:val="99"/>
              </w:rPr>
              <w:t>1,100</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1,126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1,150</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1,180</w:t>
            </w: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60" w:type="dxa"/>
            <w:vAlign w:val="bottom"/>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50-seat (ERJ145XR, CRJ550, CRJ450, CRJ200)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7"/>
              </w:rPr>
              <w:t>171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174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185</w:t>
            </w:r>
          </w:p>
        </w:tc>
      </w:tr>
      <w:tr>
        <w:trPr>
          <w:trHeight w:val="215"/>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70/76-seat (E175, E170, CRJ700)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7"/>
              </w:rPr>
              <w:t>255</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r>
      <w:tr>
        <w:trPr>
          <w:trHeight w:val="210"/>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Regional Aircraft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b w:val="1"/>
                <w:bCs w:val="1"/>
                <w:color w:val="auto"/>
                <w:w w:val="97"/>
              </w:rPr>
              <w:t>426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429</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440</w:t>
            </w: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Above figures correspond with current expectations for future delivery dates, which are subject to change.</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20"/>
          </w:cols>
          <w:pgMar w:left="320" w:top="1440" w:right="4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anticipated fuel prices, capacity,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result of government shutdowns); geopolitical conflict, terrorist attacks or security events (including the suspension of our overflying in Russian airspace as a result of the Russia-Ukraine military conflict and interruptions of our flying as a result of the military conflicts across the globe, as well as any escalation of the broader economic consequences of any conflicts beyond their current scope or a delay in any planned resumption of service to area impacted by a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military conflict in Iran;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and in Part II, Item 7. "Management’s Discussion and Analysis of Financial Condition and Results of Operations"</w:t>
      </w:r>
    </w:p>
    <w:p>
      <w:pPr>
        <w:spacing w:after="0" w:line="6"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of our Annual Report on Form 10-K for the fiscal year ended December 31, 2025, as well as other risks and uncertainties set forth from time to time in the reports we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Information and Financial Guidance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Company refers to financial measures that are not in accordance with accounting principles generally accepted in the United States of America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922" w:right="35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6"/>
          <w:szCs w:val="16"/>
          <w:color w:val="auto"/>
        </w:rPr>
        <w:t>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872"/>
    </w:lvl>
  </w:abstractNum>
  <w:abstractNum w:abstractNumId="1">
    <w:nsid w:val="216231B"/>
    <w:multiLevelType w:val="hybridMultilevel"/>
    <w:lvl w:ilvl="0">
      <w:lvlJc w:val="left"/>
      <w:lvlText w:val="(%1)"/>
      <w:numFmt w:val="decimal"/>
      <w:start w:val="87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7"/>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2026-04-21T15:03:22Z</dcterms:created>
  <dcterms:modified xsi:type="dcterms:W3CDTF">2026-04-21T15:03:22Z</dcterms:modified>
</cp:coreProperties>
</file>