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8390.xml.htm"/>
      <w:bookmarkStart w:id="1" w:name="kswkform4_17909783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SHAPIRO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7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358.29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358.29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22,104.51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units convert to shares of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2026 quarterly retainer fees that the Reporting Person elected to defer into a share account pursuant to the terms of the Company's 2006 Director Equity Incentive Plan ("DEIP").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 units will be settled in common stock following the Reporting Person's separation from service in accordance with the terms of the DEIP.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Edward Shapiro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8692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3433</Characters>
  <CharactersWithSpaces>3998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