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84900.xml.htm"/>
      <w:bookmarkStart w:id="1" w:name="kswkform4_17852849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Gebo Kate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HR and Labor Relations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71"/>
        <w:gridCol w:w="369"/>
        <w:gridCol w:w="915"/>
        <w:gridCol w:w="439"/>
        <w:gridCol w:w="833"/>
        <w:gridCol w:w="1136"/>
        <w:gridCol w:w="977"/>
        <w:gridCol w:w="10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17,837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81,887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118.27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73,986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69,018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69,018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(4)(5)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UAL common stock acquired upon the settlement of performance-based restricted stock units ("PB RSUs") granted to the reporting person in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represents the withholding of shares to pay tax withholding obligations associated with the settlement of the PB RSU awards referenced in footnote 1,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Balance held in a revocable trust in the name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By spouse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Balance held in a revocable trust in the name of the spouse of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Kate Gebo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931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3666</Characters>
  <CharactersWithSpaces>4257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