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80" w:before="0" w:after="0"/>
        <w:ind w:left="0" w:right="0" w:hanging="0"/>
        <w:jc w:val="left"/>
        <w:rPr/>
      </w:pPr>
      <w:hyperlink w:anchor="TOC">
        <w:bookmarkStart w:id="0" w:name="tm2627635-1_s3asr.htm"/>
        <w:bookmarkStart w:id="1" w:name="kstm26276351_s3asr"/>
        <w:bookmarkEnd w:id="0"/>
        <w:bookmarkEnd w:id="1"/>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20" w:before="717" w:after="437"/>
        <w:ind w:left="580" w:right="40" w:hanging="0"/>
        <w:jc w:val="center"/>
        <w:rPr>
          <w:rFonts w:ascii="Times New Roman;Times;serif" w:hAnsi="Times New Roman;Times;serif"/>
          <w:b/>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As filed with the Securities and Exchange Commission on October 21, 2026</w:t>
      </w:r>
      <w:r>
        <w:rPr>
          <w:rFonts w:ascii="Times New Roman;Times;serif" w:hAnsi="Times New Roman;Times;serif"/>
          <w:b/>
          <w:i w:val="false"/>
          <w:caps w:val="false"/>
          <w:smallCaps w:val="false"/>
          <w:color w:val="000000"/>
          <w:spacing w:val="4"/>
          <w:sz w:val="19"/>
          <w:shd w:fill="FFFFFF" w:val="clear"/>
        </w:rPr>
        <w:t xml:space="preserve"> </w:t>
      </w:r>
    </w:p>
    <w:p>
      <w:pPr>
        <w:pStyle w:val="TextBody"/>
        <w:bidi w:val="0"/>
        <w:spacing w:lineRule="atLeast" w:line="220" w:before="10" w:after="283"/>
        <w:jc w:val="right"/>
        <w:rPr>
          <w:rFonts w:ascii="Times New Roman;Times;serif" w:hAnsi="Times New Roman;Times;serif"/>
          <w:b/>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Registration No. 333-      </w:t>
      </w:r>
      <w:r>
        <w:rPr>
          <w:rFonts w:ascii="Times New Roman;Times;serif" w:hAnsi="Times New Roman;Times;serif"/>
          <w:b/>
          <w:i w:val="false"/>
          <w:caps w:val="false"/>
          <w:smallCaps w:val="false"/>
          <w:color w:val="000000"/>
          <w:sz w:val="19"/>
          <w:shd w:fill="FFFFFF" w:val="clear"/>
        </w:rPr>
        <w:t>​</w:t>
      </w:r>
    </w:p>
    <w:p>
      <w:pPr>
        <w:pStyle w:val="TextBody"/>
        <w:bidi w:val="0"/>
        <w:spacing w:before="31"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TextBody"/>
        <w:bidi w:val="0"/>
        <w:spacing w:before="48"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38"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 xml:space="preserve">U.S. SECURITIES AND EXCHANGE COMMISSION </w:t>
      </w:r>
      <w:r>
        <w:rPr>
          <w:rFonts w:ascii="Times New Roman;Times;serif" w:hAnsi="Times New Roman;Times;serif"/>
          <w:b/>
          <w:i w:val="false"/>
          <w:caps w:val="false"/>
          <w:smallCaps w:val="false"/>
          <w:color w:val="000000"/>
          <w:sz w:val="32"/>
          <w:shd w:fill="FFFFFF" w:val="clear"/>
        </w:rPr>
        <w:br/>
      </w:r>
      <w:r>
        <w:rPr>
          <w:rFonts w:ascii="Times New Roman;Times;serif" w:hAnsi="Times New Roman;Times;serif"/>
          <w:b/>
          <w:i w:val="false"/>
          <w:caps w:val="false"/>
          <w:smallCaps w:val="false"/>
          <w:color w:val="000000"/>
          <w:spacing w:val="-4"/>
          <w:sz w:val="19"/>
          <w:shd w:fill="FFFFFF" w:val="clear"/>
        </w:rPr>
        <w:t>Washington, D.C. 20549</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before="73"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50" w:before="98"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FORM S-3</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210" w:before="30" w:after="283"/>
        <w:jc w:val="center"/>
        <w:rPr>
          <w:rFonts w:ascii="Times New Roman;Times;serif" w:hAnsi="Times New Roman;Times;serif"/>
          <w:b/>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REGISTRATION STATEMENT</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UNDER</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THE SECURITIES ACT OF 1933</w:t>
      </w:r>
      <w:r>
        <w:rPr>
          <w:rFonts w:ascii="Times New Roman;Times;serif" w:hAnsi="Times New Roman;Times;serif"/>
          <w:b/>
          <w:i w:val="false"/>
          <w:caps w:val="false"/>
          <w:smallCaps w:val="false"/>
          <w:color w:val="000000"/>
          <w:spacing w:val="4"/>
          <w:sz w:val="19"/>
          <w:shd w:fill="FFFFFF" w:val="clear"/>
        </w:rPr>
        <w:t xml:space="preserve"> </w:t>
      </w:r>
    </w:p>
    <w:tbl>
      <w:tblPr>
        <w:tblW w:w="8154" w:type="dxa"/>
        <w:jc w:val="left"/>
        <w:tblInd w:w="580" w:type="dxa"/>
        <w:tblLayout w:type="fixed"/>
        <w:tblCellMar>
          <w:top w:w="0" w:type="dxa"/>
          <w:left w:w="0" w:type="dxa"/>
          <w:bottom w:w="0" w:type="dxa"/>
          <w:right w:w="0" w:type="dxa"/>
        </w:tblCellMar>
      </w:tblPr>
      <w:tblGrid>
        <w:gridCol w:w="124"/>
        <w:gridCol w:w="3829"/>
        <w:gridCol w:w="109"/>
        <w:gridCol w:w="109"/>
        <w:gridCol w:w="3829"/>
        <w:gridCol w:w="154"/>
      </w:tblGrid>
      <w:tr>
        <w:trPr/>
        <w:tc>
          <w:tcPr>
            <w:tcW w:w="124"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lineRule="atLeast" w:line="218" w:before="0" w:after="0"/>
              <w:jc w:val="center"/>
              <w:rPr/>
            </w:pPr>
            <w:r>
              <w:rPr>
                <w:b/>
                <w:spacing w:val="-6"/>
              </w:rPr>
              <w:t>United Airlines Holdings, Inc.</w:t>
            </w:r>
            <w:r>
              <w:rPr/>
              <w:t xml:space="preserve"> </w:t>
              <w:br/>
            </w:r>
            <w:r>
              <w:rPr>
                <w:spacing w:val="3"/>
                <w:sz w:val="16"/>
              </w:rPr>
              <w:t>(Exact name of registrant as specified in its charter)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lineRule="atLeast" w:line="218" w:before="0" w:after="0"/>
              <w:jc w:val="center"/>
              <w:rPr/>
            </w:pPr>
            <w:r>
              <w:rPr>
                <w:b/>
                <w:spacing w:val="-6"/>
              </w:rPr>
              <w:t>United Airlines, Inc.</w:t>
            </w:r>
            <w:r>
              <w:rPr/>
              <w:t xml:space="preserve"> </w:t>
              <w:br/>
            </w:r>
            <w:r>
              <w:rPr>
                <w:spacing w:val="3"/>
                <w:sz w:val="16"/>
              </w:rPr>
              <w:t>(Exact name of registrant as specified in its charter)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80" w:before="38" w:after="283"/>
              <w:jc w:val="center"/>
              <w:rPr/>
            </w:pPr>
            <w:r>
              <w:rPr>
                <w:spacing w:val="3"/>
              </w:rPr>
              <w:t>(State or other jurisdiction of</w:t>
            </w:r>
            <w:r>
              <w:rPr/>
              <w:t xml:space="preserve"> </w:t>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before="0" w:after="0"/>
              <w:jc w:val="center"/>
              <w:rPr>
                <w:b/>
                <w:sz w:val="19"/>
              </w:rPr>
            </w:pPr>
            <w:r>
              <w:rPr>
                <w:b/>
                <w:spacing w:val="-4"/>
                <w:sz w:val="19"/>
              </w:rPr>
              <w:t>Delaware</w:t>
            </w:r>
            <w:r>
              <w:rPr>
                <w:b/>
                <w:sz w:val="19"/>
              </w:rPr>
              <w:t xml:space="preserve"> </w:t>
            </w:r>
          </w:p>
          <w:p>
            <w:pPr>
              <w:pStyle w:val="TableContents"/>
              <w:bidi w:val="0"/>
              <w:spacing w:lineRule="atLeast" w:line="180" w:before="38" w:after="283"/>
              <w:jc w:val="center"/>
              <w:rPr/>
            </w:pPr>
            <w:r>
              <w:rPr>
                <w:spacing w:val="3"/>
              </w:rPr>
              <w:t>(State or other jurisdiction of</w:t>
            </w:r>
            <w:r>
              <w:rPr/>
              <w:t xml:space="preserve"> </w:t>
              <w:br/>
            </w:r>
            <w:r>
              <w:rPr>
                <w:spacing w:val="3"/>
              </w:rPr>
              <w:t>incorporation or organization)</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before="0" w:after="0"/>
              <w:jc w:val="center"/>
              <w:rPr>
                <w:b/>
                <w:sz w:val="19"/>
              </w:rPr>
            </w:pPr>
            <w:r>
              <w:rPr>
                <w:b/>
                <w:spacing w:val="-4"/>
                <w:sz w:val="19"/>
              </w:rPr>
              <w:t>36-2675207</w:t>
            </w:r>
            <w:r>
              <w:rPr>
                <w:b/>
                <w:sz w:val="19"/>
              </w:rPr>
              <w:t xml:space="preserve"> </w:t>
            </w:r>
          </w:p>
          <w:p>
            <w:pPr>
              <w:pStyle w:val="TableContents"/>
              <w:bidi w:val="0"/>
              <w:spacing w:lineRule="atLeast" w:line="180" w:before="38" w:after="283"/>
              <w:jc w:val="center"/>
              <w:rPr/>
            </w:pPr>
            <w:r>
              <w:rPr>
                <w:spacing w:val="3"/>
              </w:rPr>
              <w:t>(I.R.S. Employer</w:t>
            </w:r>
            <w:r>
              <w:rPr/>
              <w:t xml:space="preserve"> </w:t>
              <w:br/>
            </w:r>
            <w:r>
              <w:rPr>
                <w:spacing w:val="3"/>
              </w:rPr>
              <w:t>Identification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before="0" w:after="0"/>
              <w:jc w:val="center"/>
              <w:rPr>
                <w:b/>
                <w:sz w:val="19"/>
              </w:rPr>
            </w:pPr>
            <w:r>
              <w:rPr>
                <w:b/>
                <w:spacing w:val="-4"/>
                <w:sz w:val="19"/>
              </w:rPr>
              <w:t>74-2099724</w:t>
            </w:r>
            <w:r>
              <w:rPr>
                <w:b/>
                <w:sz w:val="19"/>
              </w:rPr>
              <w:t xml:space="preserve"> </w:t>
            </w:r>
          </w:p>
          <w:p>
            <w:pPr>
              <w:pStyle w:val="TableContents"/>
              <w:bidi w:val="0"/>
              <w:spacing w:lineRule="atLeast" w:line="180" w:before="38" w:after="283"/>
              <w:jc w:val="center"/>
              <w:rPr/>
            </w:pPr>
            <w:r>
              <w:rPr>
                <w:spacing w:val="3"/>
              </w:rPr>
              <w:t>(I.R.S. Employer</w:t>
            </w:r>
            <w:r>
              <w:rPr/>
              <w:t xml:space="preserve"> </w:t>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before="0" w:after="0"/>
              <w:jc w:val="center"/>
              <w:rPr/>
            </w:pPr>
            <w:r>
              <w:rPr>
                <w:spacing w:val="-4"/>
              </w:rPr>
              <w:t>233 S. Wacker Drive</w:t>
            </w:r>
            <w:r>
              <w:rPr/>
              <w:t xml:space="preserve"> </w:t>
              <w:br/>
            </w:r>
            <w:r>
              <w:rPr>
                <w:spacing w:val="-4"/>
              </w:rPr>
              <w:t>Chicago, Illinois 60606</w:t>
            </w:r>
            <w:r>
              <w:rPr/>
              <w:t xml:space="preserve"> </w:t>
              <w:br/>
            </w:r>
            <w:r>
              <w:rPr>
                <w:spacing w:val="-4"/>
              </w:rPr>
              <w:t>(872) 825-4000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29" w:type="dxa"/>
            <w:tcBorders/>
            <w:vAlign w:val="center"/>
          </w:tcPr>
          <w:p>
            <w:pPr>
              <w:pStyle w:val="TableContents"/>
              <w:bidi w:val="0"/>
              <w:spacing w:before="0" w:after="0"/>
              <w:jc w:val="center"/>
              <w:rPr/>
            </w:pPr>
            <w:r>
              <w:rPr>
                <w:spacing w:val="-4"/>
              </w:rPr>
              <w:t>233 S. Wacker Drive</w:t>
            </w:r>
            <w:r>
              <w:rPr/>
              <w:t xml:space="preserve"> </w:t>
              <w:br/>
            </w:r>
            <w:r>
              <w:rPr>
                <w:spacing w:val="-4"/>
              </w:rPr>
              <w:t>Chicago, Illinois 60606</w:t>
            </w:r>
            <w:r>
              <w:rPr/>
              <w:t xml:space="preserve"> </w:t>
              <w:br/>
            </w:r>
            <w:r>
              <w:rPr>
                <w:spacing w:val="-4"/>
              </w:rPr>
              <w:t>(872) 825-4000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34" w:after="283"/>
        <w:ind w:left="580" w:right="40" w:hanging="0"/>
        <w:jc w:val="center"/>
        <w:rPr>
          <w:rFonts w:ascii="Times New Roman;Times;serif" w:hAnsi="Times New Roman;Times;serif"/>
          <w:b/>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 xml:space="preserve">Robert S. Rivkin </w:t>
      </w:r>
      <w:r>
        <w:rPr>
          <w:rFonts w:ascii="Times New Roman;Times;serif" w:hAnsi="Times New Roman;Times;serif"/>
          <w:b/>
          <w:i w:val="false"/>
          <w:caps w:val="false"/>
          <w:smallCaps w:val="false"/>
          <w:color w:val="000000"/>
          <w:sz w:val="19"/>
          <w:shd w:fill="FFFFFF" w:val="clear"/>
        </w:rPr>
        <w:br/>
      </w:r>
      <w:r>
        <w:rPr>
          <w:rFonts w:ascii="Times New Roman;Times;serif" w:hAnsi="Times New Roman;Times;serif"/>
          <w:b/>
          <w:i w:val="false"/>
          <w:caps w:val="false"/>
          <w:smallCaps w:val="false"/>
          <w:color w:val="000000"/>
          <w:spacing w:val="-4"/>
          <w:sz w:val="19"/>
          <w:shd w:fill="FFFFFF" w:val="clear"/>
        </w:rPr>
        <w:t>Senior Vice President and Chief Legal Officer</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United Airlines Holdings, Inc.</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233 S. Wacker Drive</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Chicago, Illinois 60606</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 xml:space="preserve">(872) 825-4000 </w:t>
      </w:r>
      <w:r>
        <w:rPr>
          <w:rFonts w:ascii="Times New Roman;Times;serif" w:hAnsi="Times New Roman;Times;serif"/>
          <w:b/>
          <w:i w:val="false"/>
          <w:caps w:val="false"/>
          <w:smallCaps w:val="false"/>
          <w:color w:val="000000"/>
          <w:sz w:val="19"/>
          <w:shd w:fill="FFFFFF" w:val="clear"/>
        </w:rPr>
        <w:br/>
      </w:r>
      <w:r>
        <w:rPr>
          <w:rFonts w:ascii="Times New Roman;Times;serif" w:hAnsi="Times New Roman;Times;serif"/>
          <w:b w:val="false"/>
          <w:i w:val="false"/>
          <w:caps w:val="false"/>
          <w:smallCaps w:val="false"/>
          <w:color w:val="000000"/>
          <w:spacing w:val="3"/>
          <w:sz w:val="16"/>
          <w:shd w:fill="FFFFFF" w:val="clear"/>
        </w:rPr>
        <w:t>(Name, address, including zip code, and telephone number, including area code, of agent for service)</w:t>
      </w:r>
      <w:r>
        <w:rPr>
          <w:rFonts w:ascii="Times New Roman;Times;serif" w:hAnsi="Times New Roman;Times;serif"/>
          <w:b/>
          <w:i w:val="false"/>
          <w:caps w:val="false"/>
          <w:smallCaps w:val="false"/>
          <w:color w:val="000000"/>
          <w:spacing w:val="4"/>
          <w:sz w:val="19"/>
          <w:shd w:fill="FFFFFF" w:val="clear"/>
        </w:rPr>
        <w:t xml:space="preserve"> </w:t>
      </w:r>
    </w:p>
    <w:p>
      <w:pPr>
        <w:pStyle w:val="TextBody"/>
        <w:bidi w:val="0"/>
        <w:spacing w:lineRule="atLeast" w:line="210" w:before="80" w:after="283"/>
        <w:jc w:val="center"/>
        <w:rPr>
          <w:rFonts w:ascii="Times New Roman;Times;serif" w:hAnsi="Times New Roman;Times;serif"/>
          <w:b/>
          <w:i w:val="false"/>
          <w:caps w:val="false"/>
          <w:smallCaps w:val="false"/>
          <w:color w:val="000000"/>
          <w:sz w:val="19"/>
          <w:shd w:fill="FFFFFF" w:val="clear"/>
        </w:rPr>
      </w:pPr>
      <w:r>
        <w:rPr>
          <w:rFonts w:ascii="Times New Roman;Times;serif" w:hAnsi="Times New Roman;Times;serif"/>
          <w:b/>
          <w:i w:val="false"/>
          <w:caps w:val="false"/>
          <w:smallCaps w:val="false"/>
          <w:color w:val="000000"/>
          <w:spacing w:val="-4"/>
          <w:sz w:val="19"/>
          <w:shd w:fill="FFFFFF" w:val="clear"/>
        </w:rPr>
        <w:t>Approximate date of commencement of proposed sale to the public:</w:t>
      </w:r>
      <w:r>
        <w:rPr>
          <w:rFonts w:ascii="Times New Roman;Times;serif" w:hAnsi="Times New Roman;Times;serif"/>
          <w:b/>
          <w:i w:val="false"/>
          <w:caps w:val="false"/>
          <w:smallCaps w:val="false"/>
          <w:color w:val="000000"/>
          <w:sz w:val="19"/>
          <w:shd w:fill="FFFFFF" w:val="clear"/>
        </w:rPr>
        <w:t xml:space="preserve"> </w:t>
        <w:br/>
      </w:r>
      <w:r>
        <w:rPr>
          <w:rFonts w:ascii="Times New Roman;Times;serif" w:hAnsi="Times New Roman;Times;serif"/>
          <w:b/>
          <w:i w:val="false"/>
          <w:caps w:val="false"/>
          <w:smallCaps w:val="false"/>
          <w:color w:val="000000"/>
          <w:spacing w:val="-4"/>
          <w:sz w:val="19"/>
          <w:shd w:fill="FFFFFF" w:val="clear"/>
        </w:rPr>
        <w:t>From time to time after this registration statement becomes effective.</w:t>
      </w:r>
      <w:r>
        <w:rPr>
          <w:rFonts w:ascii="Times New Roman;Times;serif" w:hAnsi="Times New Roman;Times;serif"/>
          <w:b/>
          <w:i w:val="false"/>
          <w:caps w:val="false"/>
          <w:smallCaps w:val="false"/>
          <w:color w:val="000000"/>
          <w:spacing w:val="4"/>
          <w:sz w:val="19"/>
          <w:shd w:fill="FFFFFF" w:val="clear"/>
        </w:rPr>
        <w:t xml:space="preserve"> </w:t>
      </w:r>
    </w:p>
    <w:p>
      <w:pPr>
        <w:pStyle w:val="TextBody"/>
        <w:bidi w:val="0"/>
        <w:spacing w:lineRule="atLeast" w:line="220" w:before="8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the only securities being registered on this Form are being offered pursuant to dividend or interest reinvestment plans, please check the following box: ☐ </w:t>
      </w:r>
    </w:p>
    <w:p>
      <w:pPr>
        <w:pStyle w:val="TextBody"/>
        <w:bidi w:val="0"/>
        <w:spacing w:lineRule="atLeast" w:line="220" w:before="8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20" w:before="8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20" w:before="8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20" w:before="8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20" w:before="8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20" w:before="80"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9585" w:type="dxa"/>
        <w:jc w:val="left"/>
        <w:tblInd w:w="580" w:type="dxa"/>
        <w:tblLayout w:type="fixed"/>
        <w:tblCellMar>
          <w:top w:w="0" w:type="dxa"/>
          <w:left w:w="0" w:type="dxa"/>
          <w:bottom w:w="0" w:type="dxa"/>
          <w:right w:w="0" w:type="dxa"/>
        </w:tblCellMar>
      </w:tblPr>
      <w:tblGrid>
        <w:gridCol w:w="124"/>
        <w:gridCol w:w="1407"/>
        <w:gridCol w:w="109"/>
        <w:gridCol w:w="109"/>
        <w:gridCol w:w="1432"/>
        <w:gridCol w:w="109"/>
        <w:gridCol w:w="109"/>
        <w:gridCol w:w="1402"/>
        <w:gridCol w:w="109"/>
        <w:gridCol w:w="109"/>
        <w:gridCol w:w="1838"/>
        <w:gridCol w:w="109"/>
        <w:gridCol w:w="109"/>
        <w:gridCol w:w="2354"/>
        <w:gridCol w:w="156"/>
      </w:tblGrid>
      <w:tr>
        <w:trPr/>
        <w:tc>
          <w:tcPr>
            <w:tcW w:w="124" w:type="dxa"/>
            <w:tcBorders/>
            <w:vAlign w:val="center"/>
          </w:tcPr>
          <w:p>
            <w:pPr>
              <w:pStyle w:val="TableContents"/>
              <w:bidi w:val="0"/>
              <w:spacing w:before="0" w:after="283"/>
              <w:jc w:val="left"/>
              <w:rPr/>
            </w:pPr>
            <w:r>
              <w:rPr/>
              <w:t>​</w:t>
            </w:r>
          </w:p>
        </w:tc>
        <w:tc>
          <w:tcPr>
            <w:tcW w:w="1407" w:type="dxa"/>
            <w:tcBorders/>
            <w:vAlign w:val="center"/>
          </w:tcPr>
          <w:p>
            <w:pPr>
              <w:pStyle w:val="TableContents"/>
              <w:bidi w:val="0"/>
              <w:spacing w:before="0" w:after="0"/>
              <w:jc w:val="left"/>
              <w:rPr>
                <w:spacing w:val="4"/>
              </w:rPr>
            </w:pPr>
            <w:r>
              <w:rPr>
                <w:spacing w:val="4"/>
              </w:rPr>
              <w:t xml:space="preserve">United Airlines Holdings,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0"/>
              <w:jc w:val="left"/>
              <w:rPr>
                <w:spacing w:val="4"/>
              </w:rPr>
            </w:pPr>
            <w:r>
              <w:rPr>
                <w:spacing w:val="4"/>
              </w:rPr>
              <w:t xml:space="preserve">Large 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0"/>
              <w:jc w:val="left"/>
              <w:rPr>
                <w:spacing w:val="4"/>
              </w:rPr>
            </w:pPr>
            <w:r>
              <w:rPr>
                <w:spacing w:val="4"/>
              </w:rPr>
              <w:t xml:space="preserve">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8" w:type="dxa"/>
            <w:tcBorders/>
            <w:vAlign w:val="center"/>
          </w:tcPr>
          <w:p>
            <w:pPr>
              <w:pStyle w:val="TableContents"/>
              <w:bidi w:val="0"/>
              <w:spacing w:before="0" w:after="0"/>
              <w:jc w:val="left"/>
              <w:rPr>
                <w:spacing w:val="4"/>
              </w:rPr>
            </w:pPr>
            <w:r>
              <w:rPr>
                <w:spacing w:val="4"/>
              </w:rPr>
              <w:t xml:space="preserve">Non-accelerated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4" w:type="dxa"/>
            <w:tcBorders/>
            <w:vAlign w:val="center"/>
          </w:tcPr>
          <w:p>
            <w:pPr>
              <w:pStyle w:val="TableContents"/>
              <w:bidi w:val="0"/>
              <w:spacing w:lineRule="atLeast" w:line="190" w:before="0" w:after="0"/>
              <w:ind w:left="2220" w:right="0" w:hanging="0"/>
              <w:jc w:val="left"/>
              <w:rPr/>
            </w:pPr>
            <w:r>
              <w:rPr>
                <w:spacing w:val="4"/>
              </w:rPr>
              <w:t>☐</w:t>
            </w:r>
            <w:r>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409700" cy="525780"/>
                      <wp:effectExtent l="0" t="0" r="0" b="0"/>
                      <wp:wrapSquare wrapText="right"/>
                      <wp:docPr id="1" name="Frame1"/>
                      <a:graphic xmlns:a="http://schemas.openxmlformats.org/drawingml/2006/main">
                        <a:graphicData uri="http://schemas.microsoft.com/office/word/2010/wordprocessingShape">
                          <wps:wsp>
                            <wps:cNvSpPr txBox="1"/>
                            <wps:spPr>
                              <a:xfrm>
                                <a:off x="0" y="0"/>
                                <a:ext cx="1409700" cy="525780"/>
                              </a:xfrm>
                              <a:prstGeom prst="rect"/>
                              <a:solidFill>
                                <a:srgbClr val="FFFFFF"/>
                              </a:solidFill>
                            </wps:spPr>
                            <wps:txbx>
                              <w:txbxContent>
                                <w:p>
                                  <w:pPr>
                                    <w:pStyle w:val="TextBody"/>
                                    <w:bidi w:val="0"/>
                                    <w:spacing w:lineRule="atLeast" w:line="19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1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4" w:type="dxa"/>
            <w:tcBorders/>
            <w:vAlign w:val="center"/>
          </w:tcPr>
          <w:p>
            <w:pPr>
              <w:pStyle w:val="TableContents"/>
              <w:bidi w:val="0"/>
              <w:spacing w:lineRule="atLeast" w:line="190" w:before="0" w:after="0"/>
              <w:ind w:left="2220" w:right="0" w:hanging="0"/>
              <w:jc w:val="left"/>
              <w:rPr>
                <w:spacing w:val="4"/>
              </w:rPr>
            </w:pPr>
            <w:r>
              <w:rPr>
                <w:spacing w:val="4"/>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1409700" cy="525780"/>
                      <wp:effectExtent l="0" t="0" r="0" b="0"/>
                      <wp:wrapSquare wrapText="right"/>
                      <wp:docPr id="2" name="Frame2"/>
                      <a:graphic xmlns:a="http://schemas.openxmlformats.org/drawingml/2006/main">
                        <a:graphicData uri="http://schemas.microsoft.com/office/word/2010/wordprocessingShape">
                          <wps:wsp>
                            <wps:cNvSpPr txBox="1"/>
                            <wps:spPr>
                              <a:xfrm>
                                <a:off x="0" y="0"/>
                                <a:ext cx="1409700" cy="525780"/>
                              </a:xfrm>
                              <a:prstGeom prst="rect"/>
                              <a:solidFill>
                                <a:srgbClr val="FFFFFF"/>
                              </a:solidFill>
                            </wps:spPr>
                            <wps:txbx>
                              <w:txbxContent>
                                <w:p>
                                  <w:pPr>
                                    <w:pStyle w:val="TextBody"/>
                                    <w:bidi w:val="0"/>
                                    <w:spacing w:lineRule="atLeast" w:line="19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1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07" w:type="dxa"/>
            <w:tcBorders/>
            <w:vAlign w:val="center"/>
          </w:tcPr>
          <w:p>
            <w:pPr>
              <w:pStyle w:val="TableContents"/>
              <w:bidi w:val="0"/>
              <w:spacing w:before="0" w:after="283"/>
              <w:jc w:val="left"/>
              <w:rPr>
                <w:spacing w:val="4"/>
              </w:rPr>
            </w:pPr>
            <w:r>
              <w:rPr>
                <w:spacing w:val="4"/>
              </w:rPr>
              <w:t xml:space="preserve">United Airlines,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0"/>
              <w:jc w:val="left"/>
              <w:rPr>
                <w:spacing w:val="4"/>
              </w:rPr>
            </w:pPr>
            <w:r>
              <w:rPr>
                <w:spacing w:val="4"/>
              </w:rPr>
              <w:t xml:space="preserve">Large 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0"/>
              <w:jc w:val="left"/>
              <w:rPr>
                <w:spacing w:val="4"/>
              </w:rPr>
            </w:pPr>
            <w:r>
              <w:rPr>
                <w:spacing w:val="4"/>
              </w:rPr>
              <w:t xml:space="preserve">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8" w:type="dxa"/>
            <w:tcBorders/>
            <w:vAlign w:val="center"/>
          </w:tcPr>
          <w:p>
            <w:pPr>
              <w:pStyle w:val="TableContents"/>
              <w:bidi w:val="0"/>
              <w:spacing w:before="0" w:after="0"/>
              <w:jc w:val="left"/>
              <w:rPr>
                <w:spacing w:val="4"/>
              </w:rPr>
            </w:pPr>
            <w:r>
              <w:rPr>
                <w:spacing w:val="4"/>
              </w:rPr>
              <w:t xml:space="preserve">Non-accelerated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4" w:type="dxa"/>
            <w:tcBorders/>
            <w:vAlign w:val="center"/>
          </w:tcPr>
          <w:p>
            <w:pPr>
              <w:pStyle w:val="TableContents"/>
              <w:bidi w:val="0"/>
              <w:spacing w:lineRule="atLeast" w:line="190" w:before="0" w:after="0"/>
              <w:ind w:left="2220" w:right="0" w:hanging="0"/>
              <w:jc w:val="left"/>
              <w:rPr/>
            </w:pPr>
            <w:r>
              <w:rPr>
                <w:spacing w:val="4"/>
              </w:rPr>
              <w:t>☐</w:t>
            </w:r>
            <w:r>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1409700" cy="525780"/>
                      <wp:effectExtent l="0" t="0" r="0" b="0"/>
                      <wp:wrapSquare wrapText="right"/>
                      <wp:docPr id="3" name="Frame3"/>
                      <a:graphic xmlns:a="http://schemas.openxmlformats.org/drawingml/2006/main">
                        <a:graphicData uri="http://schemas.microsoft.com/office/word/2010/wordprocessingShape">
                          <wps:wsp>
                            <wps:cNvSpPr txBox="1"/>
                            <wps:spPr>
                              <a:xfrm>
                                <a:off x="0" y="0"/>
                                <a:ext cx="1409700" cy="525780"/>
                              </a:xfrm>
                              <a:prstGeom prst="rect"/>
                              <a:solidFill>
                                <a:srgbClr val="FFFFFF"/>
                              </a:solidFill>
                            </wps:spPr>
                            <wps:txbx>
                              <w:txbxContent>
                                <w:p>
                                  <w:pPr>
                                    <w:pStyle w:val="TextBody"/>
                                    <w:bidi w:val="0"/>
                                    <w:spacing w:lineRule="atLeast" w:line="19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1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407"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3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402"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38"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54" w:type="dxa"/>
            <w:tcBorders/>
            <w:vAlign w:val="center"/>
          </w:tcPr>
          <w:p>
            <w:pPr>
              <w:pStyle w:val="TableContents"/>
              <w:bidi w:val="0"/>
              <w:spacing w:lineRule="atLeast" w:line="190" w:before="0" w:after="0"/>
              <w:ind w:left="2220" w:right="0" w:hanging="0"/>
              <w:jc w:val="left"/>
              <w:rPr/>
            </w:pPr>
            <w:r>
              <w:rPr>
                <w:spacing w:val="4"/>
              </w:rPr>
              <w:t>☐</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1409700" cy="525780"/>
                      <wp:effectExtent l="0" t="0" r="0" b="0"/>
                      <wp:wrapSquare wrapText="right"/>
                      <wp:docPr id="4" name="Frame4"/>
                      <a:graphic xmlns:a="http://schemas.openxmlformats.org/drawingml/2006/main">
                        <a:graphicData uri="http://schemas.microsoft.com/office/word/2010/wordprocessingShape">
                          <wps:wsp>
                            <wps:cNvSpPr txBox="1"/>
                            <wps:spPr>
                              <a:xfrm>
                                <a:off x="0" y="0"/>
                                <a:ext cx="1409700" cy="525780"/>
                              </a:xfrm>
                              <a:prstGeom prst="rect"/>
                              <a:solidFill>
                                <a:srgbClr val="FFFFFF"/>
                              </a:solidFill>
                            </wps:spPr>
                            <wps:txbx>
                              <w:txbxContent>
                                <w:p>
                                  <w:pPr>
                                    <w:pStyle w:val="TextBody"/>
                                    <w:bidi w:val="0"/>
                                    <w:spacing w:lineRule="atLeast" w:line="19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11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9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20" w:before="236" w:after="283"/>
        <w:ind w:left="580" w:right="40" w:firstLine="40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tLeast" w:line="220" w:before="80" w:after="283"/>
        <w:ind w:left="980" w:right="40" w:hanging="0"/>
        <w:jc w:val="left"/>
        <w:rPr>
          <w:rFonts w:ascii="Times New Roman;Times;serif" w:hAnsi="Times New Roman;Times;serif"/>
          <w:b w:val="false"/>
          <w:i w:val="false"/>
          <w:caps w:val="false"/>
          <w:smallCaps w:val="false"/>
          <w:color w:val="000000"/>
          <w:spacing w:val="4"/>
          <w:sz w:val="19"/>
          <w:shd w:fill="FFFFFF" w:val="clear"/>
        </w:rPr>
      </w:pPr>
      <w:r>
        <w:rPr>
          <w:rFonts w:ascii="Times New Roman;Times;serif" w:hAnsi="Times New Roman;Times;serif"/>
          <w:b w:val="false"/>
          <w:i w:val="false"/>
          <w:caps w:val="false"/>
          <w:smallCaps w:val="false"/>
          <w:color w:val="000000"/>
          <w:spacing w:val="4"/>
          <w:sz w:val="19"/>
          <w:shd w:fill="FFFFFF" w:val="clear"/>
        </w:rPr>
        <w:t xml:space="preserve">United Airlines Holdings, Inc. ☐ </w:t>
      </w:r>
    </w:p>
    <w:p>
      <w:pPr>
        <w:pStyle w:val="TextBody"/>
        <w:bidi w:val="0"/>
        <w:spacing w:lineRule="atLeast" w:line="220" w:before="80" w:after="283"/>
        <w:ind w:left="980" w:right="40" w:hanging="0"/>
        <w:jc w:val="left"/>
        <w:rPr>
          <w:rFonts w:ascii="Times New Roman;Times;serif" w:hAnsi="Times New Roman;Times;serif"/>
          <w:b w:val="false"/>
          <w:i w:val="false"/>
          <w:caps w:val="false"/>
          <w:smallCaps w:val="false"/>
          <w:color w:val="000000"/>
          <w:sz w:val="19"/>
          <w:shd w:fill="FFFFFF" w:val="clear"/>
        </w:rPr>
      </w:pPr>
      <w:r>
        <w:rPr>
          <w:rFonts w:ascii="Times New Roman;Times;serif" w:hAnsi="Times New Roman;Times;serif"/>
          <w:b w:val="false"/>
          <w:i w:val="false"/>
          <w:caps w:val="false"/>
          <w:smallCaps w:val="false"/>
          <w:color w:val="000000"/>
          <w:spacing w:val="4"/>
          <w:sz w:val="19"/>
          <w:shd w:fill="FFFFFF" w:val="clear"/>
        </w:rPr>
        <w:t>United Airlines, Inc. ☐</w:t>
      </w:r>
      <w:r>
        <w:rPr>
          <w:rFonts w:ascii="Times New Roman;Times;serif" w:hAnsi="Times New Roman;Times;serif"/>
          <w:b w:val="false"/>
          <w:i w:val="false"/>
          <w:caps w:val="false"/>
          <w:smallCaps w:val="false"/>
          <w:color w:val="000000"/>
          <w:sz w:val="19"/>
          <w:shd w:fill="FFFFFF" w:val="clear"/>
        </w:rPr>
        <w:t xml:space="preserve"> </w:t>
      </w:r>
    </w:p>
    <w:p>
      <w:pPr>
        <w:pStyle w:val="TextBody"/>
        <w:bidi w:val="0"/>
        <w:spacing w:before="53" w:after="283"/>
        <w:ind w:left="580"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before="50" w:after="283"/>
        <w:ind w:left="580" w:right="40" w:hanging="0"/>
        <w:jc w:val="left"/>
        <w:rPr>
          <w:caps w:val="false"/>
          <w:smallCaps w:val="false"/>
          <w:color w:val="000000"/>
          <w:bdr w:val="single" w:sz="16" w:space="1" w:color="000000"/>
          <w:shd w:fill="FFFFFF" w:val="clear"/>
        </w:rPr>
      </w:pPr>
      <w:r>
        <w:rPr>
          <w:caps w:val="false"/>
          <w:smallCaps w:val="false"/>
          <w:color w:val="000000"/>
          <w:bdr w:val="single" w:sz="16" w:space="1" w:color="000000"/>
          <w:shd w:fill="FFFFFF" w:val="clear"/>
        </w:rPr>
        <w:t>​</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EXPLANATORY NOTE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registration statement contains two separate prospectuses: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first prospectus relates to offerings by (i) United Airlines Holdings, Inc. of its common stock, preferred stock, debt securities, guarantees of debt securities, depositary shares, stock purchase contracts, stock purchase units, subscription rights and warrants and (ii) United Airlines, Inc. of its debt securities and guarantees of debt securities.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second prospectus relates to offerings by United Airlines, Inc. of pass through certificates.</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437"/>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United Airlines Holdings, Inc.</w:t>
      </w:r>
      <w:r>
        <w:rPr>
          <w:rFonts w:ascii="Times New Roman;Times;serif" w:hAnsi="Times New Roman;Times;serif"/>
          <w:b/>
          <w:i w:val="false"/>
          <w:caps w:val="false"/>
          <w:smallCaps w:val="false"/>
          <w:color w:val="000000"/>
          <w:sz w:val="32"/>
          <w:shd w:fill="FFFFFF" w:val="clear"/>
        </w:rPr>
        <w:t xml:space="preserve"> </w:t>
      </w:r>
    </w:p>
    <w:p>
      <w:pPr>
        <w:pStyle w:val="TextBody"/>
        <w:bidi w:val="0"/>
        <w:spacing w:lineRule="atLeast" w:line="320" w:before="12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Common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Preferred Stock</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Guarantees of Debt Securities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Depositary Shares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Stock Purchase Contracts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Stock Purchase Units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Subscription Rights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Warrants</w:t>
      </w:r>
      <w:r>
        <w:rPr>
          <w:rFonts w:ascii="Times New Roman;Times;serif" w:hAnsi="Times New Roman;Times;serif"/>
          <w:b/>
          <w:i w:val="false"/>
          <w:caps w:val="false"/>
          <w:smallCaps w:val="false"/>
          <w:color w:val="000000"/>
          <w:spacing w:val="6"/>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360" w:before="32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United Airlines, Inc.</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pacing w:val="-6"/>
          <w:sz w:val="28"/>
          <w:shd w:fill="FFFFFF" w:val="clear"/>
        </w:rPr>
        <w:t>Debt Securities</w:t>
      </w:r>
      <w:r>
        <w:rPr>
          <w:rFonts w:ascii="Times New Roman;Times;serif" w:hAnsi="Times New Roman;Times;serif"/>
          <w:b/>
          <w:i w:val="false"/>
          <w:caps w:val="false"/>
          <w:smallCaps w:val="false"/>
          <w:color w:val="000000"/>
          <w:sz w:val="28"/>
          <w:shd w:fill="FFFFFF" w:val="clear"/>
        </w:rPr>
        <w:t xml:space="preserve"> </w:t>
        <w:br/>
      </w:r>
      <w:r>
        <w:rPr>
          <w:rFonts w:ascii="Times New Roman;Times;serif" w:hAnsi="Times New Roman;Times;serif"/>
          <w:b/>
          <w:i w:val="false"/>
          <w:caps w:val="false"/>
          <w:smallCaps w:val="false"/>
          <w:color w:val="000000"/>
          <w:spacing w:val="-6"/>
          <w:sz w:val="28"/>
          <w:shd w:fill="FFFFFF" w:val="clear"/>
        </w:rPr>
        <w:t>Guarantees of Debt Securities</w:t>
      </w:r>
      <w:r>
        <w:rPr>
          <w:rFonts w:ascii="Times New Roman;Times;serif" w:hAnsi="Times New Roman;Times;serif"/>
          <w:b/>
          <w:i w:val="false"/>
          <w:caps w:val="false"/>
          <w:smallCaps w:val="false"/>
          <w:color w:val="000000"/>
          <w:sz w:val="28"/>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securities covered by this prospectus may be sold by United Airlines Holdings, Inc. and its wholly-owned subsidiary United Airlines, Inc., from time to time, together or separately. In addition, selling security holders who may be named in a prospectus supplement may offer and sell, from time to time, securities held by them in such amounts as set forth in such prospectus supplement. We may, and any selling security holder may, offer the securities independently or together in any combination for sale directly to purchasers or through underwriters, dealers or agents to be designated at a future date. Unless otherwise set forth in a prospectus supplement, we will not receive any proceeds from the sale of securities by any selling security holders.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describe the specific terms of any offering of securities in a prospectus supplement to this prospectus. You should carefully read this prospectus and the applicable prospectus supplement, together with the documents we incorporate by reference, before you decide to invest in any of these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may not be used to offer or sell any securities unless accompanied by a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common stock of United Airlines Holdings, Inc. is traded on The Nasdaq Stock Market LLC under the symbol “UAL.” </w:t>
      </w:r>
    </w:p>
    <w:p>
      <w:pPr>
        <w:pStyle w:val="TextBody"/>
        <w:bidi w:val="0"/>
        <w:spacing w:lineRule="atLeast" w:line="240" w:before="160" w:after="283"/>
        <w:ind w:left="1833" w:right="40" w:hanging="0"/>
        <w:jc w:val="left"/>
        <w:rPr/>
      </w:pPr>
      <w:r>
        <w:rPr>
          <w:rFonts w:ascii="Times New Roman;Times;serif" w:hAnsi="Times New Roman;Times;serif"/>
          <w:b/>
          <w:i/>
          <w:caps w:val="false"/>
          <w:smallCaps w:val="false"/>
          <w:color w:val="000000"/>
          <w:spacing w:val="-4"/>
          <w:sz w:val="20"/>
          <w:shd w:fill="FFFFFF" w:val="clear"/>
        </w:rPr>
        <w:t>Investing in our securities involves risks. See “Risk Factors” on page </w:t>
      </w:r>
      <w:hyperlink w:anchor="tRIFA">
        <w:r>
          <w:rPr>
            <w:rStyle w:val="InternetLink"/>
          </w:rPr>
          <w:t>2</w:t>
        </w:r>
      </w:hyperlink>
      <w:r>
        <w:rPr>
          <w:rFonts w:ascii="Times New Roman;Times;serif" w:hAnsi="Times New Roman;Times;serif"/>
          <w:b/>
          <w:i/>
          <w:caps w:val="false"/>
          <w:smallCaps w:val="false"/>
          <w:color w:val="000000"/>
          <w:spacing w:val="-4"/>
          <w:sz w:val="20"/>
          <w:shd w:fill="FFFFFF" w:val="clear"/>
        </w:rPr>
        <w:t xml:space="preserve"> of this prospectus.</w:t>
      </w:r>
      <w:r>
        <w:rPr>
          <w:rFonts w:ascii="Times New Roman;Times;serif" w:hAnsi="Times New Roman;Times;serif"/>
          <w:b/>
          <w:i/>
          <w:caps w:val="false"/>
          <w:smallCaps w:val="false"/>
          <w:color w:val="000000"/>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date of this prospectus is October 21, 2026.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 w:name="TOC"/>
      <w:bookmarkEnd w:id="2"/>
      <w:r>
        <w:rPr>
          <w:rFonts w:ascii="calibri;arial;sans-serif" w:hAnsi="calibri;arial;sans-serif"/>
          <w:b w:val="false"/>
          <w:i w:val="false"/>
          <w:caps w:val="false"/>
          <w:smallCaps w:val="false"/>
          <w:sz w:val="18"/>
          <w:shd w:fill="E5E4E2" w:val="clear"/>
        </w:rPr>
        <w:t>​</w:t>
      </w:r>
      <w:bookmarkStart w:id="3" w:name="tATP"/>
      <w:bookmarkEnd w:id="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15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640"/>
        <w:gridCol w:w="109"/>
        <w:gridCol w:w="109"/>
        <w:gridCol w:w="109"/>
        <w:gridCol w:w="109"/>
        <w:gridCol w:w="392"/>
        <w:gridCol w:w="109"/>
        <w:gridCol w:w="155"/>
      </w:tblGrid>
      <w:tr>
        <w:trPr/>
        <w:tc>
          <w:tcPr>
            <w:tcW w:w="76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RIFA">
              <w:r>
                <w:rPr>
                  <w:rStyle w:val="InternetLink"/>
                  <w:spacing w:val="4"/>
                </w:rPr>
                <w:t>2</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THCO">
              <w:r>
                <w:rPr>
                  <w:rStyle w:val="InternetLink"/>
                  <w:spacing w:val="4"/>
                </w:rPr>
                <w:t>4</w:t>
              </w:r>
            </w:hyperlink>
            <w:hyperlink w:anchor="t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SSH">
              <w:r>
                <w:rPr>
                  <w:rStyle w:val="InternetLink"/>
                  <w:spacing w:val="4"/>
                </w:rPr>
                <w:t xml:space="preserve">SELLING SECURITY 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SSH">
              <w:r>
                <w:rPr>
                  <w:rStyle w:val="InternetLink"/>
                  <w:spacing w:val="4"/>
                </w:rPr>
                <w:t>4</w:t>
              </w:r>
            </w:hyperlink>
            <w:hyperlink w:anchor="tSSH">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UOP">
              <w:r>
                <w:rPr>
                  <w:rStyle w:val="InternetLink"/>
                  <w:spacing w:val="4"/>
                </w:rPr>
                <w:t>4</w:t>
              </w:r>
            </w:hyperlink>
            <w:hyperlink w:anchor="tUO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DOUC">
              <w:r>
                <w:rPr>
                  <w:rStyle w:val="InternetLink"/>
                  <w:spacing w:val="4"/>
                </w:rPr>
                <w:t xml:space="preserve">DESCRIPTION OF UAL CAPITAL STOCK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DOUC">
              <w:r>
                <w:rPr>
                  <w:rStyle w:val="InternetLink"/>
                  <w:spacing w:val="4"/>
                </w:rPr>
                <w:t>5</w:t>
              </w:r>
            </w:hyperlink>
            <w:hyperlink w:anchor="tDOU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AND GUARANTEES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DODS">
              <w:r>
                <w:rPr>
                  <w:rStyle w:val="InternetLink"/>
                  <w:spacing w:val="4"/>
                </w:rPr>
                <w:t>15</w:t>
              </w:r>
            </w:hyperlink>
            <w:hyperlink w:anchor="tDOD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DODS1">
              <w:r>
                <w:rPr>
                  <w:rStyle w:val="InternetLink"/>
                  <w:spacing w:val="4"/>
                </w:rPr>
                <w:t xml:space="preserve">DESCRIPTION OF DEPOSITARY SHARES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DODS1">
              <w:r>
                <w:rPr>
                  <w:rStyle w:val="InternetLink"/>
                  <w:spacing w:val="4"/>
                </w:rPr>
                <w:t>25</w:t>
              </w:r>
            </w:hyperlink>
            <w:hyperlink w:anchor="tDOD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DOSP">
              <w:r>
                <w:rPr>
                  <w:rStyle w:val="InternetLink"/>
                  <w:spacing w:val="4"/>
                </w:rPr>
                <w:t xml:space="preserve">DESCRIPTION OF STOCK PURCHASE CONTRACTS AND STOCK PURCHASE UNITS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DOSP">
              <w:r>
                <w:rPr>
                  <w:rStyle w:val="InternetLink"/>
                  <w:spacing w:val="4"/>
                </w:rPr>
                <w:t>27</w:t>
              </w:r>
            </w:hyperlink>
            <w:hyperlink w:anchor="tD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DOSR">
              <w:r>
                <w:rPr>
                  <w:rStyle w:val="InternetLink"/>
                  <w:spacing w:val="4"/>
                </w:rPr>
                <w:t xml:space="preserve">DESCRIPTION OF SUBSCRIPTION RIGHTS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DOSR">
              <w:r>
                <w:rPr>
                  <w:rStyle w:val="InternetLink"/>
                  <w:spacing w:val="4"/>
                </w:rPr>
                <w:t>28</w:t>
              </w:r>
            </w:hyperlink>
            <w:hyperlink w:anchor="tDOS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DOW">
              <w:r>
                <w:rPr>
                  <w:rStyle w:val="InternetLink"/>
                  <w:spacing w:val="4"/>
                </w:rPr>
                <w:t>29</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30</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WYCF">
              <w:r>
                <w:rPr>
                  <w:rStyle w:val="InternetLink"/>
                  <w:spacing w:val="4"/>
                </w:rPr>
                <w:t>32</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IOCD">
              <w:r>
                <w:rPr>
                  <w:rStyle w:val="InternetLink"/>
                  <w:spacing w:val="4"/>
                </w:rPr>
                <w:t>32</w:t>
              </w:r>
            </w:hyperlink>
            <w:hyperlink w:anchor="t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40"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2" w:type="dxa"/>
            <w:tcBorders/>
            <w:tcMar>
              <w:bottom w:w="0" w:type="dxa"/>
            </w:tcMar>
            <w:vAlign w:val="center"/>
          </w:tcPr>
          <w:p>
            <w:pPr>
              <w:pStyle w:val="TableContents"/>
              <w:bidi w:val="0"/>
              <w:spacing w:before="0" w:after="283"/>
              <w:jc w:val="right"/>
              <w:rPr/>
            </w:pPr>
            <w:hyperlink w:anchor="tLEMA">
              <w:r>
                <w:rPr>
                  <w:rStyle w:val="InternetLink"/>
                  <w:spacing w:val="4"/>
                </w:rPr>
                <w:t>33</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40"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2"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that we filed with the Securities and Exchange Commission (the “SEC”) using the “shelf” registration process. Under the shelf registration process, we, or certain of our security holders, may sell the securities described in this prospectus in one or more offerings from time to time. This prospectus provides you with a general description of the securities that we or a selling security holder may offer. Each time we, or, under certain circumstances, our security holders, sell securities, we will provide a prospectus supplement that will contain specific information about the terms of that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this prospectus, unless the context otherwise requires, the terms “we,” “our,” “us” and the “Company” refer to United Airlines Holdings, Inc. and its subsidiaries, including United Airlines, Inc.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 should rely only on the information contained in this prospectus or in a prospectus supplement accompanying this prospectus or on the information incorporated by reference therein. We have not authorized anyone to provide you with different information. The distribution of this prospectus and sale of these securities in certain jurisdictions may be restricted by law. Persons in possession of this prospectus are required to inform themselves about and observe any such restrictions. We are not making an offer to sell these securities in any jurisdiction where the offer or sale is not permitted. You should assume that the information appearing in this prospectus is accurate as of the date on the front cover of this prospectus only. Our business, financial condition, results of operations and prospects may have changed since that date.</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4" w:name="tRIFA"/>
      <w:bookmarkEnd w:id="4"/>
      <w:r>
        <w:rPr>
          <w:rFonts w:ascii="calibri;arial;sans-serif" w:hAnsi="calibri;arial;sans-serif"/>
          <w:b w:val="false"/>
          <w:i w:val="false"/>
          <w:caps w:val="false"/>
          <w:smallCaps w:val="false"/>
          <w:sz w:val="18"/>
          <w:shd w:fill="E5E4E2" w:val="clear"/>
        </w:rPr>
        <w:t>​</w:t>
      </w:r>
      <w:bookmarkStart w:id="5" w:name="tCSCF"/>
      <w:bookmarkEnd w:id="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investment in our securities involves risk. Before you invest in securities issued by us, you should carefully consider the risks involved. Accordingly, you should carefully consider: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contained in or incorporated by reference into this prospectus; </w:t>
      </w:r>
      <w:r>
        <mc:AlternateContent>
          <mc:Choice Requires="wps">
            <w:drawing>
              <wp:anchor behindDoc="0" distT="7493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contained in or incorporated by reference into any prospectus supplement relating to specific offerings of securities; </w:t>
      </w:r>
      <w:r>
        <mc:AlternateContent>
          <mc:Choice Requires="wps">
            <w:drawing>
              <wp:anchor behindDoc="0" distT="7493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risks described in the Annual Report on Form 10-K of United Airlines Holdings, Inc. and United Airlines, Inc. for our most recent fiscal year and in any Quarterly Report on Form 10-Q that we have filed since our most recent Annual Report on Form 10-K, each of which is incorporated by reference into this prospectus; and </w:t>
      </w:r>
      <w:r>
        <mc:AlternateContent>
          <mc:Choice Requires="wps">
            <w:drawing>
              <wp:anchor behindDoc="0" distT="7493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risks and other information that may be contained in, or incorporated by reference from, other filings we make with the SEC, including in any prospectus supplement relating to specific offerings of securities. </w:t>
      </w:r>
      <w:r>
        <mc:AlternateContent>
          <mc:Choice Requires="wps">
            <w:drawing>
              <wp:anchor behindDoc="0" distT="7493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discussion of risks related to our business contained in or incorporated by reference into this prospectus or into any prospectus supplement comprises material risks of which we are aware. If any of the events or developments described actually occurs, our business, financial condition or results of operations would likely suffer.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STATEMENT CONCERNING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the accompanying prospectus supplement and the documents incorporated or deemed incorporated by reference herein and therein contain “forward-looking statements” subject to the safe harbor created by the Private Securities Litigation Reform Act of 1995. These forward-looking statements are based on the current beliefs and expectations of our management with respect to future events and are subject to significant risks and uncertainties. These statements relate to future events, including our future performance, and management’s expectations, beliefs, intentions, plans or projections relating to the future, and some of these statements can be identified by the use of forward-looking terminology such as “believes,” “expects,” “anticipates,” “estimates,” “projects,” “intends,” “seeks,” “future,” “continue,” “contemplate,” “plans,” “predicts,” “would,” “will,” “may,” “should” and the negative or other variations of those terms or comparable terminology or by discussion of strategy, plans, opportunities or intentions. As a result, actual results, performance or achievements may vary materially from those anticipated by the forward-looking statements.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Among the factors that could cause actual results, performance or achievements to differ materially from those indicated by such forward-looking statements are: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execution risks associated with our strategic operating plan; </w:t>
      </w:r>
      <w:r>
        <mc:AlternateContent>
          <mc:Choice Requires="wps">
            <w:drawing>
              <wp:anchor behindDoc="0" distT="7493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w:t>
      </w:r>
      <w:r>
        <mc:AlternateContent>
          <mc:Choice Requires="wps">
            <w:drawing>
              <wp:anchor behindDoc="0" distT="7620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failure to effectively manage, and receive anticipated benefits and returns from, acquisitions, divestitures, investments, joint ventures and other portfolio actions, or related exposures to unknown liabilities or other issues or underperformance as compared to our expectations; </w:t>
      </w:r>
      <w:r>
        <mc:AlternateContent>
          <mc:Choice Requires="wps">
            <w:drawing>
              <wp:anchor behindDoc="0" distT="7620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 publicity, increased regulatory scrutiny, harm to our brand, reduced travel demand, potential tort liability and operational restrictions as a result of an accident, catastrophe or incident involving us, our regional carriers, our codeshare partners or another airline; </w:t>
      </w:r>
      <w:r>
        <mc:AlternateContent>
          <mc:Choice Requires="wps">
            <w:drawing>
              <wp:anchor behindDoc="0" distT="7620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highly competitive nature of the global airline industry and susceptibility of the industry to price discounting and changes in capacity, including as a result of alliances, joint business arrangements or other consolidations; </w:t>
      </w:r>
      <w:r>
        <mc:AlternateContent>
          <mc:Choice Requires="wps">
            <w:drawing>
              <wp:anchor behindDoc="0" distT="7620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unfavorable developments affecting our MileagePlus loyalty program;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reliance on a limited number of suppliers to source a majority of our aircraft, engines and certain parts, and the impact of any failure to obtain timely deliveries, additional equipment or support from any of these suppliers; </w:t>
      </w:r>
      <w:r>
        <mc:AlternateContent>
          <mc:Choice Requires="wps">
            <w:drawing>
              <wp:anchor behindDoc="0" distT="0" distB="0" distL="254000" distR="0" simplePos="0" locked="0" layoutInCell="1" allowOverlap="1" relativeHeight="32">
                <wp:simplePos x="0" y="0"/>
                <wp:positionH relativeFrom="column">
                  <wp:align>left</wp:align>
                </wp:positionH>
                <wp:positionV relativeFrom="line">
                  <wp:posOffset>635</wp:posOffset>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unfavorable economic and political conditions in the United States and globally; </w:t>
      </w:r>
      <w:r>
        <mc:AlternateContent>
          <mc:Choice Requires="wps">
            <w:drawing>
              <wp:anchor behindDoc="0" distT="7366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reliance on third-party service providers and the impact of any significant failure of these parties to perform as expected, or interruptions in our relationships with these providers or their provision of services;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extended interruptions or disruptions in service at major airports where we operate and space, facility and infrastructure constraints at our hubs or other airports (including as a result of government shutdowns);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geopolitical conflict, terrorist attacks or security events (including the suspension of our overflying in Russian airspace as a result of the Russia-Ukraine military conflict and interruptions of our flying as a result of military conflicts across the globe, as well as any escalation of the broader economic consequences of any conflicts beyond their current scope or a delay in any planned resumption of service to an area impacted by conflict);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damage to our reputation or brand image;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disruptions to our regional network and United Express flights provided by third-party regional carriers;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reliance on technology and automated systems to operate our business and the impact of any significant failure or disruption of, or failure to effectively integrate and implement, these technologies or systems;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increasing privacy, data security and cybersecurity obligations or a significant data breach;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increased use of social media platforms by us, our employees and others;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impacts of union disputes, employee strikes or slowdowns, and other labor-related disruptions as well as increased employee and retiree health, pension, labor or regulatory compliance costs on our operations or financial performance;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failure to recruit, hire, develop or retain skilled personnel, including our senior management team or other key employees;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monetary and operational costs of compliance with extensive government regulation of the airline industry;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current or future litigation and regulatory actions, or failure to comply with the terms of any settlement, order or agreement relating to these actions;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costs, liabilities and risks associated with environmental regulation and climate change;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high and/or volatile fuel prices or significant disruptions in the supply of aircraft fuel, including as a result of the geopolitical conflicts in the Middle East and in other regions;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impacts of our significant amount of financial leverage from fixed obligations and the impacts of insufficient liquidity on our financial condition and business;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failure to comply with financial and other covenants governing our debt;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limitations on our ability to use our net operating loss carryforwards and certain other tax attributes to offset future taxable income for U.S. federal income tax purposes; </w:t>
      </w:r>
      <w:r>
        <mc:AlternateContent>
          <mc:Choice Requires="wps">
            <w:drawing>
              <wp:anchor behindDoc="0" distT="7493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failure to realize the full value of our intangible assets or our long-lived assets, causing us to record impairments; </w:t>
      </w:r>
      <w:r>
        <mc:AlternateContent>
          <mc:Choice Requires="wps">
            <w:drawing>
              <wp:anchor behindDoc="0" distT="7493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fluctuations in the price of common stock of United Airlines Holdings, Inc.; </w:t>
      </w:r>
      <w:r>
        <mc:AlternateContent>
          <mc:Choice Requires="wps">
            <w:drawing>
              <wp:anchor behindDoc="0" distT="7493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impacts of seasonality and other factors associated with the airline industry;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increases in insurance costs or inadequate insurance coverage; </w:t>
      </w:r>
      <w:r>
        <mc:AlternateContent>
          <mc:Choice Requires="wps">
            <w:drawing>
              <wp:anchor behindDoc="0" distT="7366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6" w:name="tTHCO"/>
      <w:bookmarkEnd w:id="6"/>
      <w:r>
        <w:rPr>
          <w:rFonts w:ascii="calibri;arial;sans-serif" w:hAnsi="calibri;arial;sans-serif"/>
          <w:b w:val="false"/>
          <w:i w:val="false"/>
          <w:caps w:val="false"/>
          <w:smallCaps w:val="false"/>
          <w:sz w:val="18"/>
          <w:shd w:fill="E5E4E2" w:val="clear"/>
        </w:rPr>
        <w:t>​</w:t>
      </w:r>
      <w:bookmarkStart w:id="7" w:name="tSSH"/>
      <w:bookmarkEnd w:id="7"/>
      <w:r>
        <w:rPr>
          <w:rFonts w:ascii="calibri;arial;sans-serif" w:hAnsi="calibri;arial;sans-serif"/>
          <w:b w:val="false"/>
          <w:i w:val="false"/>
          <w:caps w:val="false"/>
          <w:smallCaps w:val="false"/>
          <w:sz w:val="18"/>
          <w:shd w:fill="E5E4E2" w:val="clear"/>
        </w:rPr>
        <w:t>​</w:t>
      </w:r>
      <w:bookmarkStart w:id="8" w:name="tUOP"/>
      <w:bookmarkEnd w:id="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68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risks relating to our repurchase program for common stock and warrants of United Airlines Holdings, Inc.; and </w:t>
      </w:r>
      <w:r>
        <mc:AlternateContent>
          <mc:Choice Requires="wps">
            <w:drawing>
              <wp:anchor behindDoc="0" distT="0" distB="0" distL="254000" distR="0" simplePos="0" locked="0" layoutInCell="1" allowOverlap="1" relativeHeight="55">
                <wp:simplePos x="0" y="0"/>
                <wp:positionH relativeFrom="column">
                  <wp:align>left</wp:align>
                </wp:positionH>
                <wp:positionV relativeFrom="line">
                  <wp:posOffset>635</wp:posOffset>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risks and uncertainties referred to in “Risk Factors” in this prospectus and the applicable prospectus supplement, and under “Risk Factors” and under “Management’s Discussion and Analysis of Financial Condition and Results of Operations” in the reports we file with the SEC.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make these statements under the protection afforded by Section 27A of the Securities Act of 1933, as amended (the “Securities Act”), and Section 21E of the Securities Exchange Act of 1934, as amended (the “Exchange Act”). Because forward-looking statements are subject to assumptions and uncertainties, actual results, performance or achievements may differ materially from those expressed or implied by such forward-looking statements. You are cautioned not to place undue reliance on such statements, which speak only as of the date such statements are made. Except to the extent required by applicable law or regulation, we undertake no obligation to revise or update any forward-looking statement, or to make any other forward-looking statements, whether as a result of new information, future events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United Airlines Holdings, Inc. (“UAL”) is a holding company and its wholly-owned subsidiary is United Airlines, Inc. (“United”), which is a commercial airline.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UAL and United is a Delaware corporation. The principal executive offices of UAL and United are located at 233 S. Wacker Drive, Chicago, Illinois 60606, telephone (872) 825-4000.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website for UAL and United is www.united.com. The information contained on or connected to this website is not incorporated by reference into this prospectus and should not be considered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SELLING SECURITY HOLDERS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register securities covered by this prospectus for re-offers and resales by any selling security holders who may be named in a prospectus supplement. Because each of UAL and United is a well-known seasoned issuer, as defined in Rule 405 under the Securities Act, we may add secondary sales of securities by any selling security holders by filing a prospectus supplement with the SEC. We may register these securities to permit selling security holders to resell their securities when they deem appropriate. A selling security holder may resell all, a portion or none of their securities at any time and from time to time. We may register those securities for sale through an underwriter or other plan of distribution as set forth in a prospectus supplement. See “Plan of Distribution.” Selling security holders may also sell, transfer or otherwise dispose of some or all of their securities in transactions exempt from the registration requirements of the Securities Act. We may pay all expenses incurred with respect to the registration of the securities owned by the selling security holders, other than underwriting fees, discounts or commissions, which will be borne by the selling security holders. We will provide you with a prospectus supplement naming the selling security holders, the amount of securities to be registered and sold and any other terms of the securities being sold by a selling security holder.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an accompanying prospectus supplement, we intend to use the net proceeds from the sale of our securities for general corporate purposes, which may include repayment of indebtedness, the funding of a portion of our pension liabilities and our working capital requirements. Unless otherwise set forth in a prospectus supplement, we will not receive any proceeds from any sales of our securities by any selling security holder who may be named in a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9" w:name="tDOUC"/>
      <w:bookmarkEnd w:id="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UAL CAPITAL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description of UAL’s capital stock includes a summary of certain provisions of UAL’s amended and restated certificate of incorporation, amended and restated bylaws and tax benefits preservation plan. This description of UAL’s capital stock does not purport to be complete and is subject to and qualified in its entirety by reference to applicable Delaware law, such documents and the provisions of any applicable certificates of designations, which have been or will be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is authorized to issue up to 1,000,000,000 shares of its common stock, par value $0.01 per share (“UAL Common Stock”), and up to 250,000,000 shares of Preferred Stock, without par value (“Preferred Stock”), of which UAL has designated 1,000,000 shares as Series A Junior Participating Serial Preferred Stock, without par value (“Series A Preferred Stock”). UAL is also authorized to issue and has issued one share of Class Pilot MEC Junior Preferred Stock, par value $0.01 per share (“Class Pilot MEC Junior Preferred Stock”), and one share of Class IAM Junior Preferred Stock, par value $0.01 per share (“Class IAM Junior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Common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Dividends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UAL Common Stock will be entitled to receive dividends, if and when declared payable, from time to time by the UAL board of directors (the “Board”).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Liquidation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any liquidation, dissolution or winding up of UAL, after all securities ranking prior to UAL Common Stock, including any shares of UAL’s Preferred Stock, Class Pilot MEC Junior Preferred Stock and Class IAM Junior Preferred Stock, have been paid in full that to which they are entitled, the holders of the then outstanding shares of UAL Common Stock will be entitled to receive, pro rata, the remaining assets of UAL available for distribution to its stockholders.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Voting Rights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outstanding share of UAL Common Stock will entitle the holder thereof to one vote on each matter submitted to a vote at a meeting of stockholders. At meetings of stockholders, holders of UAL’s Common Stock vote together as a single class with holders of UAL’s Class Pilot MEC Junior Preferred Stock and Class IAM Junior Preferred Stock on all matters except the election of directors to the Board. Except as otherwise required by UAL’s amended and restated certificate of incorporation, each director shall be elected by vote of a majority of the votes cast with respect to that director’s election. However, if the number of director nominees exceeds the number of directors to be elected at any meeting of stockholders as of the date that is 10 days prior to the date UAL files its definitive proxy statement with the SEC (regardless of whether or not the proxy statement is thereafter revised or supplemented), then each director shall be elected by a plurality of the votes cast and entitled to vote on the election of directors. The affirmative vote of holders of shares of UAL’s capital stock representing a majority of the votes present in person or by proxy at the meeting and entitled to be cast on the matter will be required to approve any other matters.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Other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Common Stock is not convertible into, or exchangeable for, any other class or series of capital stock. Holders of UAL Common Stock have no preemptive or other rights to subscribe for or purchase additional securities of UAL. UAL’s amended and restated certificate of incorporation contains no sinking fund provisions or redemption provisions with respect to the UAL Common Stock. Shares of UAL Common Stock are not subject to calls or assessments. No personal liability will attach to holders under the laws of the State of Delaware (UAL’s state of incorporation) or of the State of Illinois (the state in which UAL’s principal place of business is located). There is no classification of the Board.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Common Stock is subject to a foreign ownership limitation. See “— Foreign Ownership Limitation and Certain Anti-Takeover Provisions”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Preferred Stock may be issued independently or together with any other securities and may be attached to or separate from the securities.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Delaware law and UAL’s amended and restated certificate of incorporation, the Board by resolution, and without the approval of stockholders, may establish one or more series of Preferred Stock, fix the number of shares constituting such series and fix the designations and the powers, preferences and relative, participating, optional or other special rights, if any, and the qualifications, limitations and restrictions thereof, of such series. Such rights, preferences, powers and limitations as may be established could have the effect of discouraging an attempt to obtain control of UAL.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Board approves the issuance of a series of Preferred Stock to be offered hereunder, a description will be filed with the SEC and the terms of such series will be described in the prospectus supplement with respect to such series, including the following terms: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shares constituting such series and the distinctive designation of the series; </w:t>
      </w:r>
      <w:r>
        <mc:AlternateContent>
          <mc:Choice Requires="wps">
            <w:drawing>
              <wp:anchor behindDoc="0" distT="7239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dividend rate on the shares of the series, the conditions and dates upon which dividends thereon shall be payable, the extent, if any, to which dividends thereon shall be cumulative, and the relative rights of preference, if any, of payment of dividends thereon; </w:t>
      </w:r>
      <w:r>
        <mc:AlternateContent>
          <mc:Choice Requires="wps">
            <w:drawing>
              <wp:anchor behindDoc="0" distT="7239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Whether or not the shares of the series are redeemable and, if redeemable, the time or times during which they shall be redeemable and the amount per share payable on redemption thereof, which amount may, but need not, vary according to the time and circumstances of such redemption; </w:t>
      </w:r>
      <w:r>
        <mc:AlternateContent>
          <mc:Choice Requires="wps">
            <w:drawing>
              <wp:anchor behindDoc="0" distT="7239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amount payable in respect of the shares of the series, in the event of any liquidation, dissolution or winding up of UAL, which amount may, but need not, vary according to the time or circumstances of such action, and the relative rights of preference, if any, of payment of such amount; </w:t>
      </w:r>
      <w:r>
        <mc:AlternateContent>
          <mc:Choice Requires="wps">
            <w:drawing>
              <wp:anchor behindDoc="0" distT="7239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requirement as to a sinking fund for the shares of the series, or any requirement as to the redemption, purchase or other retirement by UAL of the shares of the series; </w:t>
      </w:r>
      <w:r>
        <mc:AlternateContent>
          <mc:Choice Requires="wps">
            <w:drawing>
              <wp:anchor behindDoc="0" distT="7239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if any, to exchange or convert shares of the series into other securities or property, and the rate or basis, time, manner and condition of exchange or conversion; </w:t>
      </w:r>
      <w:r>
        <mc:AlternateContent>
          <mc:Choice Requires="wps">
            <w:drawing>
              <wp:anchor behindDoc="0" distT="7239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voting rights, if any, to which the holders of shares of the series shall be entitled in addition to the voting rights provided by law (provided that, except as required by law or as approved by the stockholders, UAL shall not issue Preferred Stock with voting rights unless such Preferred Stock is convertible into UAL Common Stock, in which case such Preferred Stock may vote with the UAL Common Stock on an as-converted basis); and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 condition or provision with respect to the series not inconsistent with the provisions of Article Fourth, Part I of UAL’s amended and restated certificate of incorporation or any resolution adopted by the Board pursuant thereto.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has established a series of Preferred Stock designated the “Series A Junior Participating Serial Preferred Stock”, initially consisting of 1,000,000 shares, with the rights preferences, powers and limitations set forth in the Certificate of Designation of Series A Junior Participating Series Preferred Stock, summarized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Series A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Rights to Purchase Series A Preferred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Tax Benefits Preservation Plan, dated as of December 4, 2020 and as amended as of January 21, 2021, December 4, 2023 and April 22, 2024 (the “Tax Benefits Preservation Plan”), by and between UAL and Computershare Trust Company, N.A., as rights agent (and any successor agent,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caps w:val="false"/>
          <w:smallCaps w:val="false"/>
          <w:color w:val="000000"/>
          <w:spacing w:val="4"/>
          <w:shd w:fill="FFFFFF" w:val="clear"/>
        </w:rPr>
      </w:pPr>
      <w:r>
        <w:rPr>
          <w:caps w:val="false"/>
          <w:smallCaps w:val="false"/>
          <w:color w:val="000000"/>
          <w:spacing w:val="4"/>
          <w:shd w:fill="FFFFFF" w:val="clear"/>
        </w:rPr>
        <w:t>“</w:t>
      </w:r>
      <w:r>
        <w:rPr>
          <w:rFonts w:ascii="Times New Roman;Times;serif" w:hAnsi="Times New Roman;Times;serif"/>
          <w:b w:val="false"/>
          <w:i w:val="false"/>
          <w:caps w:val="false"/>
          <w:smallCaps w:val="false"/>
          <w:color w:val="000000"/>
          <w:spacing w:val="4"/>
          <w:sz w:val="20"/>
          <w:shd w:fill="FFFFFF" w:val="clear"/>
        </w:rPr>
        <w:t xml:space="preserve">Rights Agent”), the Board declared a dividend of one right (a “Right”) to purchase from UAL one one-thousandth of a share of Series A Preferred Stock to stockholders of record at the close of business on December 14, 2020 (the “Record Date”). Each Right entitles its holder, under the circumstances described below, to purchase from UAL one one-thousandth of a share of Series A Preferred Stock, at an exercise price of $200.00 per Right, subject to adjustment.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attach to any shares of UAL Common Stock that were outstanding as of the Record Date or become outstanding after the Record Date and prior to the earlier of the Distribution Time (as defined below) and the Expiration Time (as defined below), and in certain other circumstances described in the Tax Benefits Preservation Plan.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Until the Distribution Time, the Rights are associated with UAL Common Stock and evidenced by UAL Common Stock certificates or, in the case of uncertificated shares of UAL Common Stock, the book-entry account that evidences record ownership of such shares, which contains a notation incorporating the Tax Benefits Preservation Plan by reference, and the Rights are transferable with and only with the underlying shares of UAL Common Stock.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Separation and Distribution of Rights; Exercisability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certain exceptions, the Rights become exercisable and trade separately from UAL Common Stock only upon the “Distribution Time,” which occurs upon the earlier of: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4.9% or more of the outstanding shares of UAL Common Stock (with certain exceptions, including those described below) or (b) such other date, as determined by the Board, on which a person or group has become an Acquiring Person) or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close of business on the tenth (10th) business day (or such later date as may be determined by the Board prior to such time as any person or group becomes an Acquiring Person) after the commencement of a tender offer or exchange offer that, if consummated, would result in a person or group becoming an Acquiring Person.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Board may determine that any person is an Acquiring Person if such person becomes the beneficial owner of 4.9% of the then-outstanding shares of UAL Common Stock under the regulations promulgated under the Internal Revenue Code of 1986, as amended (the “Code”).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Acquiring Person does not include: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or any subsidiary of UAL;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officer, director or employee of UAL or any subsidiary of UAL in his or her capacity as such;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employee benefit plan of UAL or of any subsidiary of UAL or any entity or trustee holding (or acting in a fiduciary capacity in respect of) shares of capital stock of UAL for or pursuant to the terms of any such plan or for the purpose of funding other employee benefits for employees of UAL or any subsidiary of UAL;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person or group, together with its affiliates and associates, whose beneficial ownership of 4.9% or more of the then-outstanding shares of UAL Common Stock will not jeopardize or endanger the availability to UAL of any net operating loss (“NOL”) or other tax attribute, as determined by the Board in its sole discretion prior to the time any person becomes an Acquiring Person (provided that such person will be an Acquiring Person if the Board subsequently makes a contrary determination in its sole discretion, regardless of the reason for such contrary determination); or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person or group that, together with its affiliates and associates, as of immediately prior to the first public announcement of the adoption of the Tax Benefits Preservation Plan, beneficially owns 4.9% or more of the outstanding shares of UAL Common Stock so long as such person or group continues to beneficially own at least 4.9% of the outstanding shares of UAL Common Stock and does not acquire shares of UAL Common Stock to beneficially own an amount equal to or greater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than the greater of 4.9% and the sum of the lowest beneficial ownership of such person or group since the public announcement of the adoption of the Tax Benefits Preservation Plan plus one share of UAL Common Stock.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Tax Benefits Preservation Plan provides that no person or group will become an Acquiring Person as a result of share purchases or issuances directly from UAL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 There are also certain exceptions for an “investment advisor” to mutual funds or a trustee of trusts qualified under Section 401(a) of the Code sponsored by unrelated corporations, unless the Board determines, in its reasonable discretion, that such investment advisor or trustee is deemed to beneficially own 4.9% or more of the shares of UAL Common Stock then outstanding under specified regulations promulgated under the Code.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purposes of the Tax Benefits Preservation Plan, a person or group is deemed to beneficially own shares that (a) such person or group is deemed to directly, indirectly or constructively own (as determined for purposes of Section 382 of the Code or the regulations promulgated under the Code), (b) such person or group directly or indirectly beneficially owns (as determined pursuant to Rule 13d-3 under the Exchange Act) or (c) are directly or indirectly beneficially owned (as described in clause (a) or (b) above) by any other person or group with which such person or group has any agreement, arrangement or understanding, but only if the effect of such agreement, arrangement or understanding is to treat such persons as an “entity” under specified regulations promulgated under the Code (and with certain exceptions specified in the Tax Benefits Preservation Plan).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Expiration Time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Rights will expire on the earliest to occur of (a) the close of business on December 4, 2026 (the “Final Expiration Time”), (b) the time at which the Rights are redeemed or exchanged by UAL (as described below), (c) upon the closing of any merger or other acquisition transaction involving UAL pursuant to a merger or other acquisition agreement that has been approved by the Board before any person or group becomes an Acquiring Person or (d) the time at which the Board determines that the NOLs and certain other tax attributes are utilized in all material respects or that an ownership change under Section 382 of the Code would not adversely impact in any material respect the time period in which UAL could use the NOLs and other tax attributes or materially impair the amount of NOLs and other tax attributes that could be used by UAL in any particular time period, for applicable tax purposes (the earliest of (a), (b), (c) and (d) being herein referred to as the “Expiration Time”).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Flip-in Event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that any person or group (other than certain exempt persons) becomes an Acquiring Person (a “Flip-in Event”), each holder of a Right (other than such Acquiring Person, any of its affiliates or associates or certain transferees of such Acquiring Person or of any such affiliate or associate, whose Rights automatically become null and void) will have the right to receive, upon exercise, UAL Common Stock having a value equal to two times the exercise price of the Right.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For example, at an exercise price of $200.00 per Right, each Right not owned by an Acquiring Person (or by certain related parties) following a Flip-in Event would entitle its holder to purchase $400.00 worth of UAL Common Stock for $200.00. Assuming that UAL Common Stock had a per share value of $50.00 at that time, the holder of each valid Right would be entitled to purchase eight shares of UAL Common Stock for $200.00.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Flip-over Event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that, at any time following the Stock Acquisition Date, any of the following occurs (each, a “Flip-over Event”):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consolidates with, or merges with and into, any other entity, and UAL is not the continuing or surviving entity;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entity engages in a share exchange with or consolidates with, or merges with or into, UAL, and UAL is the continuing or surviving entity and, in connection with such share exchange, consolidation or merger, all or part of the outstanding shares of UAL Common Stock are changed into or exchanged for stock or other securities of any other entity or cash or any other property; or </w:t>
      </w:r>
      <w:r>
        <mc:AlternateContent>
          <mc:Choice Requires="wps">
            <w:drawing>
              <wp:anchor behindDoc="0" distT="0" distB="0" distL="254000" distR="0" simplePos="0" locked="0" layoutInCell="1" allowOverlap="1" relativeHeight="73">
                <wp:simplePos x="0" y="0"/>
                <wp:positionH relativeFrom="column">
                  <wp:align>left</wp:align>
                </wp:positionH>
                <wp:positionV relativeFrom="line">
                  <wp:posOffset>635</wp:posOffset>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sells or otherwise transfers, in one transaction or a series of related transactions, 50% or more of UAL’s assets, cash flow or earning power,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then each holder of a Right (except Rights which previously have been voided as described above) will have the right to receive, upon exercise, common stock of the acquiring company having a value equal to two times the exercise price of the Right.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Series A Preferred Stock Provisions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share of Series A Preferred Stock, if issued: will not be redeemable, will entitle the holder thereof, when, as and if declared, to quarterly dividend payments equal to the greater of $1,000 per share and 1,000 times the amount of all cash dividends plus 1,000 times the amount of non-cash dividends or other distributions paid on one share of UAL Common Stock, will entitle the holder thereof to receive $1,000 plus accrued and unpaid dividends per share upon liquidation and, if shares of UAL Common Stock are exchanged via merger, consolidation or a similar transaction, will entitle the holder thereof to a per share payment equal to the payment made on 1,000 shares of UAL Common Stock.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Anti-Dilution Adjustments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payable, and the number of shares of Series A Preferred Stock or other securities or property issuable, upon exercise of the Rights are subject to adjustment from time to time to prevent dilution: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of a stock dividend on, or a subdivision, combination or reclassification of, the Series A Preferred Stock, </w:t>
      </w:r>
      <w:r>
        <mc:AlternateContent>
          <mc:Choice Requires="wps">
            <w:drawing>
              <wp:anchor behindDoc="0" distT="7747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holders of the Series A Preferred Stock are granted certain rights, options or warrants to subscribe for Series A Preferred Stock or convertible securities at less than the current market price of the Series A Preferred Stock or </w:t>
      </w:r>
      <w:r>
        <mc:AlternateContent>
          <mc:Choice Requires="wps">
            <w:drawing>
              <wp:anchor behindDoc="0" distT="7747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distribution to holders of the Series A Preferred Stock of evidences of indebtedness or assets (excluding regular quarterly cash dividends) or of subscription rights or warrants (other than those referred to above). </w:t>
      </w:r>
      <w:r>
        <mc:AlternateContent>
          <mc:Choice Requires="wps">
            <w:drawing>
              <wp:anchor behindDoc="0" distT="7747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 certain exceptions, no adjustment in the exercise price will be required until cumulative adjustments amount to at least 1% of the exercise price. No fractional shares of Series A Preferred Stock will be issued and, in lieu thereof, an adjustment in cash will be made based on the market price of the Series A Preferred Stock on the last trading day prior to the date of exercise.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Redemption; Exchange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prior to the earlier of (i) the close of business on the tenth (10th) day following the Stock Acquisition Date or (ii) the Final Expiration Time, UAL may redeem the Rights in whole, but not in part, at a price of $0.001 per Right (subject to adjustment and payable in cash, UAL Common Stock or other consideration deemed appropriate by the Board). Immediately upon the action of the Board authorizing any redemption or at such later time as the Board may establish for the effectiveness of the redemption, the Rights will terminate and the only right of the holders of Rights will be to receive the redemption price.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after any Acquiring Person, together with all of its affiliates and associates, becomes the beneficial owner of fifty percent (50%) or more of the outstanding shares of UAL Common Stock, UAL may exchange the Rights (other than Rights owned by the Acquiring Person, any of its affiliates or associates or certain transferees of Acquiring Person or of any such affiliate or associate, whose Rights will have become null and void), in whole or in part, at an exchange ratio of one share of UAL Common Stock, or one one-thousandth of a share of Series A Preferred Stock (or of a share of a class or series of Serial Preferred Stock having equivalent rights, preferences and privileges), per Right (subject to adjustment).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Exemption Requests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person desiring to effect a transaction that might result in such person becoming a beneficial owner of 4.9% or more of the then-outstanding shares of UAL Common Stock may, by following the procedures outlined in the Tax Benefits Preservation Plan, request that the Board determine that such person would not be an Acquiring Person. In such case, the Board may grant the exemption notwithstanding the effect on UAL’s NOLs and other tax attributes, if the Board determines that such approval is in the best interests of UAL. The Board may impose any conditions that it deems reasonable and appropriate in connection with any such determination, including restrictions on the ability of the requesting person to transfer shares acquired by it in the transaction requiring approval.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Amendment of the Tax Benefits Preservation Plan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and the Rights Agent may from time to time amend or supplement the Tax Benefits Preservation Plan without the consent of the holders of the Rights. However, on or after the Stock Acquisition Date, no amendment can materially adversely affect the interests of the holders of the Rights (other than the Acquiring Person, any of its affiliates or associates or certain transferees of Acquiring Person or of any such affiliate or associate).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Miscellaneous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While the distribution of the Rights is not taxable to stockholders or to UAL, stockholders may, depending upon the circumstances, recognize taxable income in the event that the Rights become exercisable for UAL Common Stock (or other consideration) or for common stock of the acquiring company or in the event of the redemption of the Rights as described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Class Pilot MEC Junior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currently has one share of Class Pilot MEC Junior Preferred Stock outstanding, which may be held only by the United Airlines Pilots Master Executive Council (the “MEC”) of the Air Line Pilots Association, International (“ALPA”) or a duly authorized agent acting for the benefit of the MEC, and may only be transferred in certain limited circumstances specified in UAL’s amended and restated certificate of incorporation.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Dividends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of the Class Pilot MEC Junior Preferred Stock is not entitled to receive dividends or other distributions, except as described under “— Liquidation” below.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Liquidation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any liquidation, dissolution or winding up of UAL, after all securities ranking prior to the Class Pilot MEC Junior Preferred Stock, including any shares of UAL’s Preferred Stock, have been paid in full that to which they are entitled, the holder of the Class Pilot MEC Junior Preferred Stock will be entitled to receive $0.01 for the share of Class Pilot MEC Junior Preferred Stock, but such holder shall not be entitled to any further payment.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Voting Rights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of the share of Class Pilot MEC Junior Preferred Stock has the following voting rights: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Until such time (the “ALPA Termination Date”) as there are no longer any persons represented by ALPA (or a successor to the MEC by merger or reorganization of ALPA) employed by UAL or any of its affiliates or the collective bargaining agreement between UAL or any of its affiliates and ALPA has been amended so that such agreement no longer provides that ALPA has the right to appoint a director to the Board, the holder of the share of Class Pilot MEC Junior Preferred Stock shall have the right (i) voting as a separate class, to (1) elect one director to the Board at each annual meeting of stockholders for a term of office to expire at the succeeding annual meeting of stockholders, (2) remove such director with or without cause and (3) fill any vacancies in such directorship resulting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from death, resignation, disqualification, removal or other cause; and (ii) voting together as a single class with the holders of UAL Common Stock and the holders of such other classes or series of stock that vote together with the UAL Common Stock as a single class, to vote on all matters submitted to a vote of the holders of UAL Common Stock (other than the election of directors), except as otherwise required by law.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affirmative vote of the holder of the share of Class Pilot MEC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Pilot MEC Junior Preferred Stock.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 of Class Pilot MEC Junior Preferred Stock will be automatically redeemed by UAL, at a price of $0.01 per share, on the ALPA Termination Date or upon any purported transfer thereof other than as expressly permitted under UAL’s amended and restated certificate of incorporation.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Ranking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Class Pilot MEC Junior Preferred Stock is deemed to rank on a parity with the Class IAM Junior Preferred Stock and senior to the UAL Common Stock as to amounts distributable upon liquidation, dissolution or winding up of UAL.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Class IAM Junior Preferred Stock</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currently has one share of Class IAM Junior Preferred Stock outstanding, which may be held only by the International Association of Machinists and Aerospace Workers (the “IAM”) or a duly authorized agent acting for the benefit of the IAM, and may only be transferred in certain limited circumstances specified in UAL’s amended and restated certificate of incorporation.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Dividends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of the Class IAM Junior Preferred Stock is not entitled to receive dividends or other distributions, except as described under “— Liquidation” below.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Liquidation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any liquidation, dissolution or winding up of UAL, after all securities ranking prior to the Class IAM Junior Preferred Stock, including any shares of UAL’s Preferred Stock, have been paid in full that to which they are entitled, the holder of the Class IAM Junior Preferred Stock will be entitled to receive $0.01 for the share of Class IAM Junior Preferred Stock, but such holder shall not be entitled to any further payment.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Voting Rights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 of the share of Class IAM Junior Preferred Stock has the following voting rights: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Until such time (the “IAM Termination Date”) as there are no longer any persons represented by the IAM (or a successor to the IAM by merger or reorganization of the IAM) employed by UAL or any of its affiliates or a certain letter agreement between UAL and the IAM no longer provides that the IAM has the right to appoint a director to the Board, the holder of the share of Class IAM Junior Preferred Stock shall have the right (i) voting as a separate class, to (1) elect one director to the Board at each annual meeting of stockholders for a term of office to expire at the succeeding annual meeting of stockholders, (2) remove such director with or without cause and (3) fill any vacancies in such directorship resulting from death, resignation, disqualification, removal or other cause; and (ii) voting together as a single class with the holders of UAL Common Stock and the holders of such other classes or series of stock that vote together with the UAL Common Stock as a single class, to vote on all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matters submitted to a vote of the holders of UAL Common Stock (other than the election of directors), except as otherwise required by law.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The affirmative vote of the holder of the share of Class IAM Junior Preferred Stock, voting as a separate class, is necessary to authorize, effect or validate any amendment, alteration or repeal (including any amendment, alteration or repeal by operation of merger or consolidation) of any of the provisions of UAL’s amended and restated certificate of incorporation that would adversely affect the powers, preferences or special rights of the Class IAM Junior Preferred Stock.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Redemption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share of Class IAM Junior Preferred Stock will be automatically redeemed by UAL, at a price of $0.01 per share, on the IAM Termination Date or upon any purported transfer thereof other than as expressly permitted under UAL’s amended and restated certificate of incorporation.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Ranking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Class IAM Junior Preferred Stock is deemed to rank on a parity with the Class Pilot MEC Junior Preferred Stock and senior to the UAL Common Stock as to amounts distributable upon liquidation, dissolution or winding up of UAL.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Foreign Ownership Limitation and Certain Anti-Takeover Provisions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Foreign Ownership Limitation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UAL’s amended and restated certificate of incorporation limits the total number of shares of equity securities held by all persons who fail to qualify as citizens of the United States to having no more than 24.9% of the voting power of all outstanding equity securities of UAL.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Undesignated Preferred Stock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ability to issue undesignated Preferred Stock makes it possible for the Board to issue Preferred Stock with super voting, dividend or other special rights or preferences on a discriminatory basis that could impede the success of any attempt to acquire UAL. These and other provisions may have the effect of deferring, delaying or discouraging hostile takeovers, or changes in control or management of UAL.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 Stockholder Action by Written Consent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UAL’s amended and restated certificate of incorporation provides that any action required or permitted to be taken by UAL stockholders must be effected at a duly called annual or special meeting of stockholders and may not be effected by consent in writing by such stockholders.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Limitations on Stockholder Rights to Call Special Meetings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UAL’s amended and restated bylaws provide that special meetings of the stockholders may be called only (i) by both the Chief Executive Officer and the Chairperson of the Board, (ii) by the Board or (iii) subject to certain requirements set forth in UAL’s amended and restated bylaws, by the Secretary, upon the written request of one or more stockholders of record of UAL that together have continuously held, for their own account or on behalf of others, beneficial ownership of at least a 25% aggregate “net long position” ​(as defined in UAL’s amended and restated bylaws) of the outstanding UAL Common Stock for at least one year prior to the date such request is delivered to UAL.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Requirements for Advance Notification of Stockholder Meetings, Nominations and Proposals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UAL’s amended and restated bylaws establish advance notice procedures with respect to stockholder proposals for annual meetings and the nomination of candidates for election as directors to the Board, other than nominations pursuant to the terms of the Class Pilot MEC Junior Preferred Stock, the Class IAM Junior Preferred Stock or nominations made by or at the direction of the Board or a committee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Board. In order for any matter to be “properly brought” before a meeting, a stockholder will have to comply with advance notice requirements and provide UAL with certain information. Under UAL’s amended and restated bylaws, the Board may also adopt rules, regulations and procedures for the conduct of stockholder meetings as the Board deems appropriate, and except to the extent inconsistent with such rules, regulations and procedures adopted by the Board, the person presiding at any meeting of stockholders has the right and authority to convene and (for any or no reason) to recess or adjourn the meeting, to prescribe such rules, regulations and procedures and to do all such acts as, in the judgment of such person, are necessary, appropriate or convenient for the proper conduct of the meeting, which may have the effect of precluding the conduct of certain business at a meeting if the rules and regulations are not followed. These procedures and provisions may deter, delay or discourage a potential acquiror from conducting a solicitation of proxies to elect the acquiror’s own slate of directors or otherwise attempting to obtain control of UAL.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No Stockholder Filling of Vacancies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Board vacancies and newly created directorships may only be filled by a vote of a majority of the directors then in office, even if less than a quorum, or by a sole remaining director. Thus, even if stockholders remove a director from office, the vacancy created by such removal may only be filled by the Board.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Business Combinations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is subject to the provisions of Section 203 of the Delaware General Corporation Law (“DGCL”) regulating corporate takeovers. Section 203 prevents certain Delaware corporations from engaging, under certain circumstances, in a “business combination” ​(as defined therein), which includes, among other things, a merger or sale of more than 10% of the corporation’s assets, with any interested stockholder for three years following the date that the stockholder became an interested stockholder. An interested stockholder is a stockholder who acquired 15% or more of the corporation’s outstanding voting stock or an affiliate or associate of such person. </w:t>
      </w:r>
    </w:p>
    <w:p>
      <w:pPr>
        <w:pStyle w:val="TextBody"/>
        <w:bidi w:val="0"/>
        <w:spacing w:lineRule="atLeast" w:line="240" w:before="240" w:after="283"/>
        <w:ind w:left="1833" w:right="40" w:hanging="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Tax Benefits Preservation Plan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Tax Benefits Preservation Plan could have certain anti-takeover effects because the Rights provided to holders of UAL Common Stock under the Tax Benefits Preservation Plan will cause substantial dilution to an Acquiring Person. While the Tax Benefits Preservation Plan is intended to preserve our current ability to utilize NOLs and certain other tax attributes, it effectively deters current and future purchasers from accumulating more than 4.9% of UAL’s securities, which could delay or discourage attempts that our stockholders may consider favorable. The Tax Benefits Preservation Plan should not interfere with any merger or other business combination approved by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Choice of Forum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UAL’s amended and restated bylaws provide that, unless a majority of the Board, acting on behalf of UAL, consents in writing to the selection of an alternative forum, (a) the Court of Chancery of the State of Delaware (or, if the Court of Chancery does not have jurisdiction, another state court located within the State of Delaware, or if no state court located within the State of Delaware has jurisdiction, the federal district court for the District of Delaware) will, to the fullest extent permitted by law, be the sole and exclusive forum for: (i) any derivative action or proceeding brought on behalf of UAL, (ii) any action asserting a claim of breach of a fiduciary duty owed by any current or former director, officer or other employee of UAL to UAL or UAL’s stockholders, (iii) any action asserting a claim against UAL or any of its current or former directors, officers or other employees arising pursuant to any provision of the DGCL, UAL’s amended and restated bylaws or UAL’s amended and restated certificate of incorporation (in each case, as may be amended from time to time), (iv) any action asserting a claim against UAL or any of its current or former directors, officers or other employees governed by the internal affairs doctrine of the State of Delaware or (v) any other action asserting an “internal corporate claim,” as defined in Section 115 of the DGCL, in all cases subject to the court’s having personal jurisdiction over all indispensable parties named as defendants, and (b) the federal district courts of the United States of America will, to the fullest extent permitted by law, be the sole and exclusive forum for the resolution of any action asserting a cause of action arising under the Securities Act.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892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action within the scope of clause (a) above is filed in a court other than a court located within the State of Delaware, or if any action within the scope of clause (b) above is filed in a court other than the federal district courts of the United States of America (either such case being, a “Foreign Action”), in the name of any stockholder, such stockholder will be deemed to have consented to (i) the personal jurisdiction of the state and federal courts located within the State of Delaware in connection with any action brought in any such court to enforce clause (a) above, and the personal jurisdiction of the federal district courts of the United States of America in connection with any action brought in any such court to enforce clause (b) above (an “Enforcement Action”), and (ii) having service of process made upon such stockholder in any such Enforcement Action by service upon such stockholder’s counsel in the Foreign Action as agent for such stockholder.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However, it is possible that a court could find UAL’s forum selection provision to be inapplicable or unenforceable. Furthermore, because the applicability of the exclusive forum provision is limited to the extent permitted by law, UAL does not intend that the exclusive forum provision described in clause (a) above would apply to suits brought to enforce any duty or liability created by the Exchange Act or any other claim for which the federal courts have exclusive jurisdiction. Stockholders cannot waive compliance with the federal securities laws and the rules and regulations thereunder.</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0" w:name="tDODS"/>
      <w:bookmarkEnd w:id="1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DEBT SECURITIES AND GUARANTEES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description of the terms of the debt securities and guarantees sets forth certain general terms and provisions of the debt securities and guarantees to which any prospectus supplement may relate. The particular terms of the debt securities offered by any prospectus supplement and the extent, if any, to which these general provisions may apply to those debt securities and guarantees will be described in the prospectus supplement relating to those debt securities and guarantees. Accordingly, for a description of the terms of a particular issue of debt securities, reference must be made to the prospectus supplement relating thereto and, to the extent applicable, the following description.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or United may issue debt securities from time to time in one or more series. The debt securities will be general obligations of the applicable issuer. The debt securities issued by UAL or United may be fully and unconditionally guaranteed on a secured or unsecured senior or subordinated basis by the other of such companies. If any series of debt securities will be subordinated to other indebtedness that the applicable issuer has outstanding or may incur, the terms of the subordination will be set forth in the prospectus supplement relating to the subordinated debt securities. Debt securities will be issued under one or more indentures between one or more of us and one or more trustees named in the prospectus supplement. The indenture that UAL and United expect to use has been filed with the SEC and is listed as an exhibit to the registration statement of which this prospectus is a part. The following discussion of certain provisions of the indenture is a summary only and should not be considered a complete description of the terms and provisions of the indenture. Accordingly, the following discussion is qualified in its entirety by reference to the provisions of the indenture, including the definition of certain terms used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specified in a supplement to this prospectus, the debt securities will represent direct, unsecured, general obligations of UAL or United and: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rank equally with other unsubordinated debt or may be subordinated to other debt the issuer has or may incur;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be issued in one or more series with the same or various maturities;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be issued at a price of 100% of their principal amount or at a premium or discount; </w:t>
      </w:r>
      <w:r>
        <mc:AlternateContent>
          <mc:Choice Requires="wps">
            <w:drawing>
              <wp:anchor behindDoc="0" distT="7366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be issued in registered or bearer form and certificated or uncertificated form; and </w:t>
      </w:r>
      <w:r>
        <mc:AlternateContent>
          <mc:Choice Requires="wps">
            <w:drawing>
              <wp:anchor behindDoc="0" distT="7366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may be represented by one or more global notes registered in the name of a designated depositary’s nominee, and if so, beneficial interests in the global note will be shown on and transfers will be made only through records maintained by the designated depositary and its participants. </w:t>
      </w:r>
      <w:r>
        <mc:AlternateContent>
          <mc:Choice Requires="wps">
            <w:drawing>
              <wp:anchor behindDoc="0" distT="7366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aggregate principal amount of debt securities that we may authenticate and deliver is unlimited. The debt securities may be issued in one or more series as the issuer may authorize from time to time. You should refer to the applicable prospectus supplement for the following terms of the debt securities of the series with respect to which that prospectus supplement is being delivered: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the identity of the issuer of such debt securities;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the form and title of the debt securities of the series (which shall distinguish the debt securities of that particular series from the debt securities of any other series);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the price or prices of the debt securities of the series;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any limit upon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the date or dates on which the principal and premium with respect to the debt securities of the series are payable;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(6)   the rate or rates (which may be fixed or variable) at which the debt securities of the series shall bear interest, if any, or the method of determining such rate or rates, the date or dates from which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interest, if any, shall accrue, the interest payment dates on which such interest, if any, shall be payable or the method by which such dates will be determined, the record dates for the determination of holders thereof to whom such interest is payable (in the case of securities in registered form), and the basis upon which such interest will be calculated if other than that of a 360-day year of twelve 30-day months;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(7)   the currency or currencies in which debt securities of the series shall be denominated, if other than U.S. dollars, the place or places, if any, in addition to or instead of the corporate trust office of the trustee (in the case of securities in registered form) or the principal New York office of the trustee (in the case of securities in bearer form), where the principal, premium and interest with respect to debt securities of the series shall be payable or the method of such payment, if by wire transfer, mail or other means;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(8)   the price or prices at which, the period or periods within which, and the terms and conditions upon which debt securities of the series may be redeemed, in whole or in part, at the issuer’s option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(9)   whether debt securities of the series are to be issued as securities in registered form or as securities in bearer form or both and, if securities in bearer form are to be issued, whether coupons will be attached to them, whether securities in bearer form of the series may be exchanged for securities in registered form of the series, and the circumstances under which and the places at which any such exchanges, if permitted, may be made;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(10)   if any debt securities of the series are to be issued as securities in bearer form or as one or more global securities representing individual securities in bearer form of the series, whether certain provisions for the payment of additional interest or tax redemptions shall apply; whether interest with respect to any portion of a temporary bearer security of the series payable with respect to any interest payment date prior to the exchange of such temporary bearer security for definitive securities in bearer form of the series shall be paid to any clearing organization with respect to the portion of such temporary bearer security held for its account and, in such event, the terms and conditions (including any certification requirements) upon which any such interest payment received by a clearing organization will be credited to the persons entitled to interest payable on such interest payment date; and the terms upon which a temporary security in bearer form may be exchanged for one or more definitive securities in bearer form of the series;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(11)   the issuer’s obligation, if any, to redeem, purchase or repay debt securities of the series pursuant to any sinking fund or analogous provisions or at the option of a holder of such debt securities and the price or prices at which, the period or periods within which, and the terms and conditions upon which debt securities of the series shall be redeemed, purchased or repaid, in whole or in part, pursuant to such obligations;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(12)   the terms, if any, upon which the debt securities of the series may be convertible into or exchanged for the issuer’s or UAL Common Stock, Preferred Stock, other debt securities or warrants for UAL Common Stock, Preferred Stock, indebtedness or other securities of any kind and the terms and conditions upon which such conversion or exchange shall be effected, including the initial conversion or exchange price or rate, the conversion or exchange period and any other additional provisions;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(13)   if other than denominations of $1,000 or any integral multiple thereof, the denominations in which debt securities of the series shall be issuable;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(14)   if the amount of principal, premium or interest with respect to the debt securities of the series may be determined with reference to an index or pursuant to a formula, the manner in which such amounts will be determined;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(15)   if the principal amount payable at the stated maturity of debt securities of the series will not be determinable as of any one or more dates prior to such stated maturity, the amount that will be deemed to be such principal amount as of any such date for any purpose, including the principal amount thereof which will be due and payable upon any maturity other than the stated maturity or which will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be deemed to be outstanding as of any such date (or, in any such case, the manner in which such deemed principal amount is to be determined), and if necessary, the manner of determining the equivalent thereof in U.S. dollars; </w:t>
      </w:r>
    </w:p>
    <w:p>
      <w:pPr>
        <w:pStyle w:val="TextBody"/>
        <w:bidi w:val="0"/>
        <w:spacing w:lineRule="atLeast" w:line="240" w:before="160" w:after="283"/>
        <w:ind w:left="2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(16)   any changes or additions to the provisions of the indenture dealing with defeasance;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(17)   if other than the entire principal amount thereof, the portion of the principal amount of debt securities of the series that shall be payable upon declaration of acceleration of the maturity thereof or provable in bankruptcy;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(18)   the terms, if any, of the transfer, mortgage, pledge or assignment as security for the debt securities of the series of any properties, assets, moneys, proceeds, securities or other collateral, including whether certain provisions of the Trust Indenture Act of 1939, as amended (the “Trust Indenture Act”), are applicable and any corresponding changes to provisions of the indenture as then in effect;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(19)   any addition to or change in the events of default with respect to the debt securities of the series and any change in the right of the trustee or the holders of such series of debt securities to declare the principal, premium and interest, if any, on such series of debt securities due and payable;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(20)   if the debt securities of the series shall be issued in whole or in part in the form of a global security, the terms and conditions, if any, upon which such global security may be exchanged in whole or in part for other individual debt securities of the series in definitive registered form, the depositary (as defined in the applicable prospectus supplement) for such global security and the form of any legend or legends to be borne by any such global security in addition to or in lieu of the legend referred to in the indenture;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(21)   any trustee, authenticating agent, paying agent, transfer agent or registrar for the debt securities of the series and any office or agency of any of the foregoing for purposes of such series of debt securities;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(22)   the applicability of the covenants set forth in the indenture to the debt securities of the series, any change in such covenants or related defined terms to the extent applicable to the debt securities of the series and any additions to the covenants applicable to the debt securities of the series;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(23)   the form and terms, if any, of any guarantee of the payment of principal, premium and interest with respect to debt securities of the series, the identity of any guarantor with respect to such guarantee and any corresponding changes to the provisions of the indenture and as then in effect;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(24)   the subordination, if any, of the debt securities of the series pursuant to the indenture and any changes or additions to the provisions of the indenture then in effect relating to subordination;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(25)   with regard to debt securities of the series that do not bear interest, the dates for certain required reports to the trustee; and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(26)   any other terms of the debt securities of the series (which terms shall not be prohibited by the provisions of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provided in the applicable prospectus supplement, securities in registered form may be transferred or exchanged at the office of the trustee at which its corporate trust business is principally administered in the United States or at the office of the trustee or the trustee’s agent in the Borough of Manhattan, the City and State of New York, at which its corporate agency business is conducted, subject to the limitations provided in the indenture, without the payment of any service charge, other than any tax or governmental charge payable in connection therewith. Securities in bearer form will be transferable only by delivery. Provisions with respect to the exchange of securities in bearer form will be described in the prospectus supplement relating to those securities in bearer form.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Neither the issuer nor the registrar for the debt securities will be required (a) to issue, register the transfer of or exchange the debt securities of any series for the period beginning at the opening of business 15 days immediately preceding the mailing of a notice of redemption of the debt securities of that series selected for redemption and ending at the close of business on the day of such mailing or (b) to register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transfer of or exchange the debt securities of any series selected, called or being called for redemption as a whole or the portion being redeemed of any such debt securities selected, called or being called for redemption in part. </w:t>
      </w:r>
    </w:p>
    <w:p>
      <w:pPr>
        <w:pStyle w:val="TextBody"/>
        <w:bidi w:val="0"/>
        <w:spacing w:lineRule="atLeast" w:line="22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funds which the issuer pays to a paying agent or the trustee for the payment of principal of, premium, if any, or interest on any debt securities that remain unclaimed at the end of two years after such principal, premium, if any, or interest has become due and payable will be repaid to the issuer on its request, and the holders of such debt securities will thereafter look only to the issuer for payment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Global Securities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2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of a series may be issued in whole or in part in the form of one or more global securities. A global security is a debt security that represents, and is denominated in an amount equal to the aggregate principal amount of, all outstanding debt securities of a series, or any portion thereof, in either case having the same terms, including the same original issue date, date or dates on which principal and interest are due and interest rate or method of determining interest. A global security will bear the legend as prescribed in the indenture. A global security will be deposited with, or on behalf of, a depositary, which will be identified in the prospectus supplement relating to such debt securities. Global securities may be issued in either registered or bearer form and in either temporary or definitive form. Unless and until it is exchanged in whole or in part for the individual debt securities represented thereby, a global security may not be transferred except as a whole by the depositary to a nominee of the depositary, by a nominee of the depositary to the depositary or another nominee of the depositary or by the depositary or any nominee of the depositary to a successor depositary or any nominee of such successor depositary. </w:t>
      </w:r>
    </w:p>
    <w:p>
      <w:pPr>
        <w:pStyle w:val="TextBody"/>
        <w:bidi w:val="0"/>
        <w:spacing w:lineRule="atLeast" w:line="22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specific terms of the depositary arrangement with respect to a series of debt securities will be described in the prospectus supplement relating to such debt securities. We anticipate that the following provisions will generally apply to depositary arrangements.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the issuance of a global security, the depositary for such global security will credit, on its book entry registration and transfer system, the respective principal amounts of the individual debt securities represented by such global security to the accounts of persons that have accounts with the depositary (“participants”). Such accounts shall be designated by the dealers or underwriters with respect to such debt securities or, if such debt securities are offered and sold directly by the issuer or through one or more agents, by the issuer or such agents. Ownership of beneficial interests in a global security will be limited to participants or persons that hold beneficial interests through participants. Ownership of beneficial interests in such global security will be shown on, and the transfer of that ownership will be effected only through, records maintained by the depositary (with respect to interests of participants) or records maintained by participants (with respect to interests of persons other than participants). The laws of some states require that certain purchasers of securities take physical delivery of such securities in definitive form. Such limitations and laws may impair the ability to transfer beneficial interests in a global security.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So long as the depositary for a global security, or its nominee, is the registered owner or holder of such global security, such depositary or nominee, as the case may be, will be considered the sole owner or holder of the individual debt securities represented by such global security for all purposes under the indenture. Except as provided below, owners of beneficial interests in a global security will not be entitled to have any of the individual debt securities represented by such global security registered in their names, will not receive or be entitled to receive physical delivery of any of such debt securities in definitive form, and will not be considered the owners or holders thereof under the indenture.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restrictions applicable to securities in bearer form described in an applicable prospectus supplement (see “— Limitations on Issuance of Securities in Bearer Form” below), payments of principal, premium, and interest with respect to individual debt securities represented by a global security will be made to the depositary or its nominee, as the case may be, as the registered owner or holder of such global security. Neither the issuer, any applicable guarantor, the trustee, any paying agent or registrar for such debt securities nor any agent of the issuer, any applicable guarantor or the trustee will have any responsibility or liability for: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any aspect of the records relating to or payments made by the depositary, its nominee or any participants on account of beneficial interests in a global security or for maintaining, supervising or reviewing any records relating to such beneficial interests;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the payment to the owners of beneficial interests in the global security of amounts paid to the depositary or its nominee; or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any other matter relating to the actions and practices of the depositary, its nominee or its participants.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None of the issuer, any applicable guarantor, the trustee, any paying agent or registrar for such debt securities or any agent of the issuer, any applicable guarantor, or the trustee will be liable for any delay by the depositary, its nominee or any of its participants in identifying the owners of beneficial interests in the global security, and the issuer, any applicable guarantor and the trustee may conclusively rely on, and will be protected in relying on, instructions from the depositary or its nominee for all purposes.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expect that the depositary for a series of debt securities or its nominee, upon receipt of any payment of principal, premium or interest with respect to a definitive global security representing any of such debt securities, will immediately credit applicable participants’ accounts with payments in amounts proportionate to their respective beneficial interests in the principal amount of such global security, as shown on the records of the depositary or its nominee. We also expect that payments by participants to owners of beneficial interests in such global security held through such participants will be governed by standing instructions and customary practices, as is now the case with securities held for the accounts of customers and registered in “street name.” Such payments will be the responsibility of such participants. Receipt by owners of beneficial interests in a temporary global security of payments of principal, premium or interest with respect thereto will be subject to the restrictions described in an applicable prospectus supplement (see “— Limitation on Issuance of Securities in Bearer Form” below).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the depositary for a series of debt securities is at any time unwilling, unable or ineligible to continue as depositary, the issuer shall appoint a successor depositary. If a successor depositary is not appointed by the issuer within 90 days, the issuer will issue individual debt securities of such series in exchange for the global security representing such series of debt securities. In addition, the issuer may at any time and in its sole discretion, subject to any limitations described in the prospectus supplement relating to such debt securities, determine to no longer have debt securities of a series represented by a global security and, in such event, will issue individual debt securities of such series in exchange for the global security representing such series of debt securities. Furthermore, if an event of default with respect to the debt securities of a series represented by a global security shall have occurred and be continuing and owners of beneficial interests in such global security in an amount not less than a majority of the aggregate outstanding principal amount of such global security have delivered to the issuer and the trustee a notice indicating that the continuation of the book-entry system through such depositary is no longer in the best interests of the holders of the beneficial interests, such global security will be exchangeable for individual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Limitations on Issuance of Securities in Bearer Form</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debt securities of a series may be issued as securities in registered form (which will be registered as to principal and interest in the register maintained by the registrar for such debt securities) or securities in bearer form (which will be transferable only by delivery). If such debt securities are issuable as securities in bearer form, the applicable prospectus supplement will describe certain special limitations and considerations that will apply to such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Certain Covenants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debt securities are issued, the indenture, as supplemented for a particular series of debt securities, will contain certain covenants for the benefit of the holders of such series of debt securities, which will be applicable (unless waived or amended) so long as any of the debt securities of such series are outstanding, unless stated otherwise in the prospectus supplement. The specific terms of the covenants, and summaries thereof, will be set forth in the prospectus supplement relating to such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Subordination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Debt securities of a series, and any guarantees of such securities, may be subordinated, which we refer to as subordinated debt securities, to senior indebtedness (as defined in the applicable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the extent set forth in the prospectus supplement relating thereto. To the extent the issuer of any debt securities conducts operations through subsidiaries of such issuer, the holders of such debt securities (whether or not subordinated debt securities) will be structurally subordinated to the creditors of such subsidiaries except to the extent such subsidiary is a guarantor of such series of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Events of Default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the following constitutes an event of default under the indenture with respect to any series of debt securities: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default in any payment of the principal or premium, if any, on the debt securities of that series, when such amount becomes due and payable at maturity, upon acceleration, redemption or otherwise;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failure to pay interest on any debt security of that series when such interest becomes due and payable, and such failure continues for a period of 30 days;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failure by the issuer or any applicable guarantor to comply in any material respect with any of the covenants or agreements applicable to the debt securities of that series to which the issuer or any applicable guarantor is subject (other than those referred to in (1) or (2) above) and such failure continues for 90 days after the notice;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certain events of bankruptcy, insolvency or reorganization affecting the issuer or any applicable guarantor; or </w:t>
      </w:r>
    </w:p>
    <w:p>
      <w:pPr>
        <w:pStyle w:val="TextBody"/>
        <w:bidi w:val="0"/>
        <w:spacing w:lineRule="atLeast" w:line="23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except as permitted by the indenture, any guarantee of the debt securities of that series is held in any judicial proceeding to be unenforceable or invalid or ceases for any reason to be in full force and effect, or the any applicable guarantor denies or disaffirms in writing its obligations under such guarantee.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prospectus supplement may omit, modify or add to the foregoing events of default.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default under clause (3) above will not constitute an event of default with respect to any series of debt securities until the trustee notifies the issuer or the holders of at least 25% in aggregate principal amount of the outstanding debt securities of that series notify the issuer and the trustee of the default and such issuer does not cure such default within the time specified in clause (3) above after receipt of such notice.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any event of default (other than an event of default relating to certain events of bankruptcy, insolvency or reorganization with respect to the issuer) occurs and is continuing with respect to a particular series of debt securities, either the trustee or the holders of at least 25% in aggregate principal amount of the outstanding debt securities of that series by written notice to the issuer (and to the trustee if such notice is given by the holders) may declare the principal amount of (or in the case of original issue discount debt securities, the portion thereby specified in the terms thereof) and accrued and unpaid interest on all the debt securities of that series to be immediately due and payable. In the case of certain events of bankruptcy, insolvency or reorganization with respect to the issuer, the principal amount of (or, in the case of original issue discount debt securities, the portion thereby specified in the terms thereof) and accrued interest on all the debt securities of that series shall automatically become and be immediately due and payable without any declaration or other act on the part of the trustee or any holders.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aggregate principal amount of the debt securities of any series then outstanding may by notice to the trustee under the indenture waive any existing default or event of default and its consequences under the indenture with respect to such series of debt securities except (i) a default in the payment of the principal (or, in the case of original issue discount debt securities of that series, the portion thereby specified in the terms thereof), premium, if any, and accrued and unpaid interest on the debt securities of such series, (ii) a default arising from the failure to redeem or purchase any debt security of that series when required pursuant to the terms of the indenture or (iii) a default in respect of a provision that cannot be amended under the indenture without the consent of each holder of the series affected.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Subject to the provisions of the indenture relating to the duties of the trustee, in case an event of default shall occur and be continuing, the trustee is under no obligation to exercise any of its rights or powers under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or debt securities at the request or direction of any of the holders of any series of debt securities, unless such holders have offered to the trustee indemnity or security satisfactory to it against any loss, liability or expense. Subject to such provisions for the indemnification of the trustee, the holders of at least a majority in aggregate principal amount of the outstanding debt securities of any series have the right to direct the time, method and place of conducting any proceeding for any remedy available to the trustee or exercising any trust or power conferred on the trustee with respect to such series of debt securities. The trustee, however, may refuse to follow any direction that conflicts with law or the indenture, that the trustee determines is unduly prejudicial to the rights of any other holder of such series of debt securities or that would subject the trustee to personal liability. Prior to taking any action under the indenture, the trustee is entitled to indemnification satisfactory to it in its sole discretion against all losses and expenses caused by taking or not taking such action.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to enforce the right to receive payment of principal (or, in the case of original issue discount debt securities, the portion thereby specified in the terms thereof), premium, if any, and accrued and unpaid interest on the debt securities of any series when due, no holder of debt securities of that series has any right to pursue any remedy with respect to the indenture or debt securities unless: </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holder has previously given to the trustee written notice of a continuing event of default with respect to such series of debt securities; </w:t>
      </w:r>
      <w:r>
        <mc:AlternateContent>
          <mc:Choice Requires="wps">
            <w:drawing>
              <wp:anchor behindDoc="0" distT="7239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at least 25% in aggregate principal amount of the outstanding debt securities of that series have made a written request to the trustee to pursue such remedy; </w:t>
      </w:r>
      <w:r>
        <mc:AlternateContent>
          <mc:Choice Requires="wps">
            <w:drawing>
              <wp:anchor behindDoc="0" distT="7239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such holder or holders have offered to the trustee security or indemnity satisfactory to the trustee against any loss, liability or expense;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trustee has not complied with the request within 60 days after receipt of the request and the offer of security or indemnity; and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holders of a majority in aggregate principal amount of the outstanding debt securities of that series do not give the trustee a direction inconsistent with the request during such 60-day period.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However, such limitations do not apply to a suit instituted by a holder of a debt security of such series for the enforcement of payment of the principal (or, in the case of original issue discount debt securities, the portion thereby specified in the term thereof), premium, if any, or accrued and unpaid interest on such debt security on or after the applicable due date specified in such debt security.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provides that if a default with respect to debt securities of any series occurs and is continuing and if it is actually known to a trust officer of the trustee, the trustee must mail to each holder of that series notice of the default within 90 days after it occurs. Except in the case of a default in the payment of principal (or, in the case of original issue discount debt securities of that series, the portion thereby specified in the terms thereof), premium, if any, and accrued and unpaid interest on any debt security of that series when such amount becomes due and payable, the trustee may withhold notice if and so long as a committee of its trust officers in good faith determines that withholding notice is in the interests of the holders.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requires the issuer with respect to an outstanding series of debt securities to furnish to the trustee, within 120 days after the end of each fiscal year, an officer’s certificate as defined in the indenture, as to whether or not such officers know of any default with respect to such series of debt securities that occurred during such period and, if so, describing the default, its status and what action the issuer is taking or proposes to take with respect thereto.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Street name and other indirect holders should consult their banks and brokers for information on their requirements for giving notice or taking other actions upon a default.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Modification and Waiver</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Modifications and amendments of the indenture as it applies to any series of debt securities or any of the other terms of such series may be made by the applicable issuer, any applicable guarantor and the trustee with the consent of the holders of at least a majority in aggregate principal amount of the outstanding debt securities of such series.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No such modification or amendment may, without the consent of each holder of an affected debt security: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 to the percentage of principal amount of the outstanding debt securities of the applicable series the holders of which must consent to an amendment;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reduce the principal amount of, premium, if any, or interest on, or extend the stated maturity or interest payment periods of, such debt security;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such debt security payable in money or securities other than that stated in such debt security;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make any change that adversely affects such holder’s right to require the applicable issuer to purchase such debt security in accordance with the terms thereof and under the indenture;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impair the right of such holder to institute suit for the enforcement of any payment with respect to such debt securities;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any subordinated debt security or coupons appertaining thereto, make any change in the provisions of the indenture relating to subordination that adversely affects the rights of such holder under such provisions;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except as provided under “— Satisfaction and Discharge of the Indenture; Defeasance” below or in connection with a consolidation, merger or conveyance, transfer or lease of assets pursuant to the indenture, release any guarantor of such debt securities from any of its obligations under the guarantee or make any changes in the applicable guarantee that would adversely affect such holder; or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 the requirements relating to waiving a default in payment of principal of, or premium, if any, or interest on, the debt securities of a series, the right to bring suit to enforce such payments or the provisions relating to modifications or amendments described in this sentence.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Without notice to or consent of any holder, the applicable issuer and any applicable guarantor with respect to a series of debt securities and the trustee may amend the indenture as it applies to such series or any of the other terms of such series for one or more of the following purposes: </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the succession of another person to such issuer pursuant to the provisions of the indenture relating to consolidations, mergers and sales of assets and the assumption by such successor of such issuer’s covenants, agreements and obligations in the indenture and with respect to the debt securities, or to evidence the succession of another person to such guarantor pursuant to the provisions of the indenture relating to the succession of a guarantor and the assumption by such successor of such guarantor’s covenants, agreements and obligations under the indenture and with respect to the debt securities;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surrender any right or power conferred upon such issuer, to add to the covenants such further covenants, restrictions, conditions or provisions for the protection of the holders of such series of debt securities, and to make the occurrence, or the occurrence and continuance, of a default in respect of any of such additional covenants, restrictions, conditions or provisions a default or an event of default under the indenture with respect to such series; provided, however, that with respect to any such additional covenant, restriction, condition or provision, such supplemental indenture may provide for a period of grace after default, which may be shorter or longer than that allowed in the case of other defaults, may provide for an immediate enforcement upon such default, may limit the remedies available to the trustee upon such default or may limit the right of holders of a majority in aggregate principal amount of any series of debt securities to waive such default; </w:t>
      </w:r>
      <w:r>
        <mc:AlternateContent>
          <mc:Choice Requires="wps">
            <w:drawing>
              <wp:anchor behindDoc="0" distT="7874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cure any ambiguity or correct or supplement any provision contained in the indenture, in any supplemental indenture, board resolution or officers’ certificate or in any debt securities that may be defective or inconsistent with any other provision contained therein; </w:t>
      </w:r>
      <w:r>
        <mc:AlternateContent>
          <mc:Choice Requires="wps">
            <w:drawing>
              <wp:anchor behindDoc="0" distT="7874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convey, transfer, assign, mortgage or pledge any property to or with the trustee, or to make such other provisions in regard to matters or questions arising under the indenture as shall not adversely affect the interests of any holders of debt securities of such series;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modify or amend the indenture in such a manner as to permit the qualification of the indenture or any supplemental indenture under the Trust Indenture Act as then in effect; </w:t>
      </w:r>
      <w:r>
        <mc:AlternateContent>
          <mc:Choice Requires="wps">
            <w:drawing>
              <wp:anchor behindDoc="0" distT="0" distB="0" distL="254000" distR="0" simplePos="0" locked="0" layoutInCell="1" allowOverlap="1" relativeHeight="100">
                <wp:simplePos x="0" y="0"/>
                <wp:positionH relativeFrom="column">
                  <wp:align>left</wp:align>
                </wp:positionH>
                <wp:positionV relativeFrom="line">
                  <wp:posOffset>635</wp:posOffset>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4"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add to or change any of the provisions of the indenture to provide that debt securities in bearer form may be registrable as to principal, to change or eliminate any restrictions on the payment of principal, premium or interest with respect to debt securities in bearer form, to permit securities in registered form to be exchanged for securities in bearer form or to permit or facilitate the issuance of debt securities of such series in uncertificated form, provided that any such action shall not adversely affect the interests of the holders of debt securities or any coupons of any series in any material respect;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case of subordinated debt securities, to make any change in the provisions of the indenture or any supplemental indenture, board resolution or officers’ certificate relating to subordination that would limit or terminate the benefits available to any holder of senior indebtedness under such provisions, subject to any consent required under the terms of such senior indebtedness;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add guarantees with respect to the debt securities or to secure the debt securities;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make any change that does not adversely affect the rights of any holder of debt securities of such series in any material respect;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evidence and provide for the acceptance of appointment by a successor or separate trustee with respect to the debt securities of one or more series and to add to or change any of the provisions of the indenture as shall be necessary to provide for or facilitate the administration of the indenture by more than one trustee; or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establish the form or terms of debt securities and coupons of any series, as described under “— General” above.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United and the trustee may amend the indenture without notice to or consent of any holder to add to, change, or eliminate any of the provisions of the indenture, so long as any such addition, change or elimination not otherwise permitted under the indenture shall (a) neither apply to any debt security of any series outstanding at the time of the execution of such supplemental indenture and entitled to the benefit of such provision nor modify the rights of the holders of any such debt security with respect to such provision or (b) become effective only when there is no such debt security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Mergers and Sales of Assets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provides that the issuer with respect to any outstanding series of debt securities may not consolidate with or merge into any other person or convey, transfer or lease all or substantially all of its properties and assets to another person, unless among other items: (a) the resulting, surviving or transferee person is a corporation organized and existing under the laws of the United States, any state thereof or the District of Columbia and such person (if not such issuer) expressly assumes, by supplemental indenture, all obligations of such issuer under the applicable debt securities and the indenture; (b) no event of default with respect to any series of debt securities of such issuer issued under the indenture shall have occurred and be continuing; and (c) such issuer shall have provided the trustee with an officers’ certificate and an opinion of counsel confirming compliance with the indenture with respect to such transaction. Upon the assumption of the issuer’s obligations by such a person in such circumstances, subject to certain exceptions, such issuer shall be discharged from all obligations under the indenture.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also provides that any applicable guarantor with respect to any outstanding series of debt securities may not consolidate with or merge into any other person or convey, transfer or lease all or substantially all of its properties and assets to another person, unless among other items: (a) the resulting, surviving or transferee person is a corporation organized and existing under the laws of the United States, any state thereof or the District of Columbia and such person (if not such guarantor) expressly assumes, by supplemental indenture, all obligations of such guarantor under the applicable guarantee and the indenture; (b) no event of default with respect to any series of debt securities of such issuer issued under the indenture shall have occurred and be continuing; and (c) such issuer shall have provided the trustee with an officers’ certificate confirming compliance with the indenture with respect to such transaction.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240"/>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Satisfaction and Discharge of the Indenture; Defeasance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provided for in the prospectus supplement, the indenture shall cease to be of any further effect with respect to any series of debt securities if (1) either (a) the issuer has delivered to the trustee for cancellation all debt securities of such series (with certain limited exceptions) or (b) all debt securities and coupons of such series not theretofore delivered to the trustee for cancellation shall have become due and payable, are by their terms to become due and payable at their stated maturity within one year or are to be called for redemption within one year under arrangements satisfactory to the trustee for the giving of notice of redemption by the trustee in the name, and at the expense, of the issuer; and (2) the issuer shall have deposited with the trustee as trust funds an amount sufficient to pay and discharge the entire indebtedness on such debt securities not theretofore delivered to the trustee for cancellation, for principal (and premium, if any) and interest, if any, to the date of such deposit (in the case of debt securities which have become due and payable) or to the stated maturity or redemption date, as the case may be.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the issuer shall have a “legal defeasance option” ​(pursuant to which the issuer may terminate, with respect to the debt securities of a particular series, all of its obligations under such debt securities and the indenture with respect to such debt securities) and a “covenant defeasance option” (pursuant to which the issuer may terminate, with respect to the debt securities of a particular series, its obligations with respect to such debt securities under certain specified covenants with respect to such debt securities). If the legal defeasance option is exercised with respect to a series of debt securities, payment of such debt securities may not be accelerated because of an event of default. If the covenant defeasance option is exercised with respect to a series of debt securities, payment of such debt securities may not be accelerated because of an event of default related to the specified covenants.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procedures the issuer must follow in order to exercise its defeasance options.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Regarding the Trustee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provides that, except during the continuance of an event of default, the trustee will perform only such duties as are specifically set forth in the indenture. During the existence of an event of default, the trustee will exercise such rights and powers vested in it under the indenture and use the same degree of care and skill in its exercise as a prudent person would exercise or use under the circumstances in the conduct of such person’s own affairs.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indenture and provisions of the Trust Indenture Act that are incorporated by reference therein contain limitations on the rights of the trustee, should it become one of an issuer’s creditors, to obtain payment of claims in certain cases or to realize on certain property received by it in respect of any such claim as security or otherwise. The trustee is permitted to engage in other transactions with any issuer or any of its affiliates; provided, however, that if it acquires any conflicting interest (as defined in the indenture or in the Trust Indenture Act), it must eliminate such conflict or resign.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Governing Law</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indenture is, and the debt securities will be, governed by the laws of the State of New York.</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1" w:name="tDODS1"/>
      <w:bookmarkEnd w:id="1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DEPOSITARY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summary of certain provisions of the depositary shares does not purport to be complete and is subject to, and qualified in its entirety by reference to, the provisions of the deposit agreement that will be filed with the SEC in connection with the offering of such depositary shares.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may offer fractional shares of Preferred Stock, rather than full shares of Preferred Stock. If UAL decides to offer fractional shares of Preferred Stock, it will issue receipts for depositary shares. Each depositary share will represent a fraction of a share of a particular series of Preferred Stock, and the prospectus supplement will indicate that fraction. The shares of Preferred Stock represented by depositary shares will be deposited under a deposit agreement between UAL and a depositary that is a bank or trust company that meets certain requirements and is selected by UAL. The depositary will be specified in the applicable prospectus supplement. Each owner of a depositary share will be entitled to all of the rights and preferences of the Preferred Stock represented by the depositary share. The depositary shares will be evidenced by depositary receipts issued pursuant to the deposit agreement. Depositary receipts will be distributed to those persons purchasing the fractional shares of Preferred Stock in accordance with the terms of the offering.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summarized selected provisions of the deposit agreement and the depositary receipts, but the summary is qualified by reference to the provisions of the deposit agreement and the depositary receipts. The particular terms of any series of depositary shares will be described in the applicable prospectus supplement. If so indicated in the prospectus supplement, the terms of any such series may differ from the terms set forth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Dividends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depositary will distribute all cash dividends or other cash distributions received by it in respect of the Preferred Stock to the record holders of depositary shares relating to such shares of Preferred Stock in proportion to the numbers of depositary shares held on the relevant record date. The amount made available for distribution will be reduced by any amounts withheld by the depositary or UAL on account of taxes.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the event of a distribution other than in cash, the depositary will distribute securities or property received by it to the record holders of depositary shares in proportion to the numbers of depositary shares held on the relevant record date, unless the depositary determines that it is not feasible to make such distribution. In that case, the depositary may make the distribution by such method as it deems equitable and practicable. One such possible method is for the depositary to sell the securities or property and then distribute the net proceeds from the sale as provided in the case of a cash distribution.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Withdrawal of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surrender of depositary receipts representing any number of whole shares at the depositary’s office, unless the related depositary shares previously have been called for redemption, the holder of the depositary shares evidenced by the depositary receipts will be entitled to delivery of the number of whole shares of the related series of Preferred Stock and all money and other property, if any, underlying such depositary shares. However, once such an exchange is made, the Preferred Stock cannot thereafter be redeposited in exchange for depositary shares. Holders of depositary shares will be entitled to receive whole shares of the related series of Preferred Stock on the basis set forth in the applicable prospectus supplement. If the depositary receipts delivered by the holder evidence a number of depositary shares representing more than the number of whole shares of Preferred Stock of the related series to be withdrawn, the depositary will deliver to the holder at the same time a new depositary receipt evidencing the excess number of depositary shares, provided that the depositary will not issue any receipt evidencing a fractional depositary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Redemption of Depositary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Whenever UAL redeems the Preferred Stock, the depositary will redeem a number of depositary shares representing the same number of shares of Preferred Stock so redeemed. If fewer than all of the depositary shares are to be redeemed, the depositary shares to be redeemed will be selected by lot, pro rata or by any other equitable method as the depositary may determine.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Voting of Underlying Shares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Upon receipt of notice of any meeting at which the holders of the Preferred Stock of any series are entitled to vote, the depositary will mail the information contained in the notice of the meeting to the record holders of the depositary shares relating to that series of Preferred Stock. Each record holder of the depositary shares on the record date will be entitled to instruct the depositary as to the exercise of the voting rights represented by the number of shares of Preferred Stock underlying the holder’s depositary shares. The depositary will endeavor, to the extent it is practical to do so, to vote the number of whole shares of Preferred Stock underlying such depositary shares in accordance with such instructions. UAL will agree to take all reasonable actions that the depositary may deem necessary in order to enable the depositary to do so. To the extent the depositary does not receive specific instructions from the holders of depositary shares relating to such shares of Preferred Stock, it will abstain from voting such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Amendment and Termination of Deposit Agreement</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form of depositary receipt evidencing the depositary shares and any provision of the applicable deposit agreement may at any time be amended by agreement between UAL and the depositary. With the consent of the depositary, UAL may amend the deposit agreement from time to time in any manner that it desires. However, if the amendment would materially and adversely alter the rights of the existing holders of depositary shares, the amendment would need to be approved by the holders of at least a majority of the depositary shares then outstanding. </w:t>
      </w:r>
    </w:p>
    <w:p>
      <w:pPr>
        <w:pStyle w:val="TextBody"/>
        <w:bidi w:val="0"/>
        <w:spacing w:lineRule="atLeast" w:line="240" w:before="12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deposit agreement may be terminated by UAL or the depositary if: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all outstanding depositary shares have been redeemed; or </w:t>
      </w:r>
      <w:r>
        <mc:AlternateContent>
          <mc:Choice Requires="wps">
            <w:drawing>
              <wp:anchor behindDoc="0" distT="7620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there has been a final distribution in respect of the shares of Preferred Stock of the applicable series in connection with our liquidation, dissolution or winding up and such distribution has been made to the holders of depositary receipts. </w:t>
      </w:r>
      <w:r>
        <mc:AlternateContent>
          <mc:Choice Requires="wps">
            <w:drawing>
              <wp:anchor behindDoc="0" distT="7620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Resignation and Removal of Depositary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depositary may resign at any time by delivering to UAL notice of its election to do so. UAL may remove a depositary at any time. Any resignation or removal will take effect upon the appointment of a successor depositary and its acceptance of such appointment.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Charges of Depositary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will pay all transfer and other taxes and governmental charges arising solely from the existence of any depositary arrangements. UAL will pay all charges of each depositary in connection with the initial deposit of the shares of Preferred Stock of any series, the initial issuance of the depositary shares, any redemption or exchange of such shares of Preferred Stock and any withdrawals of such shares of Preferred Stock by holders of depositary shares. Holders of depositary shares will be required to pay any other transfer taxes and governmental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Notices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depositary will forward to the holders of the applicable depositary shares all notices, reports and communications from UAL which are delivered to such depositary and which UAL is required to furnish the holders of the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Limitation of Liability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deposit agreement contains provisions that limit UAL’s liability and the liability of the depositary to the holders of depositary shares. Both the depositary and UAL are also entitled to an indemnity from the holders of the depositary shares prior to bringing, or defending against, any legal proceeding pertaining to the rights of the holders of the depositary shares. UAL or any depositary may rely upon written advice of counsel or accountants, or information provided by persons presenting shares of Preferred Stock for deposit, holders of depositary shares or other persons believed by UAL or it to be competent and on documents believed by UAL or them to be genuine.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2" w:name="tDOSP"/>
      <w:bookmarkEnd w:id="12"/>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96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STOCK PURCHASE CONTRACTS AND STOCK PURCHASE UNITS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summary of certain provisions of the stock purchase contracts and stock purchase units does not purport to be complete and is subject to, and qualified in its entirety by reference to, the provisions of the stock purchase contract or stock purchase unit, as applicable, that will be filed with the SEC in connection with the offering of such securities.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may issue stock purchase contracts, including contracts obligating holders to purchase from it, and obligating UAL to sell to the holders, a specified number of shares of UAL Common Stock or Preferred Stock at a future date or dates, which we refer to in this prospectus as “stock purchase contracts.” The price per share of the UAL Common Stock or Preferred Stock and the number of shares of UAL Common Stock or Preferred Stock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our debt securities, Preferred Stock or warrants or debt obligations of third parties, including U.S. treasury securities, securing the holders’ obligations to purchase shares of UAL Common Stock or Preferred Stock under the stock purchase contracts, which we refer to herein as “stock purchase units.” The stock purchase contracts may require holders to secure their obligations under the stock purchase contracts in a specified manner and, in certain circumstances, we may deliver newly issued prepaid stock purchase contracts upon release to a holder of any collateral securing such holder’s obligations under the original stock purchase contract. The stock purchase contracts also may require us to make periodic payments to the holders of the stock purchase units or vice versa, and those payments may be unsecured or refunded on some basis.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terms of the stock purchase contracts or stock purchase units and, if applicable, prepaid stock purchase contracts. The description in the prospectus supplement will not necessarily be complete, and reference will be made to the stock purchase contracts, and, if applicable, collateral or depositary arrangements, relating to the stock purchase contracts or stock purchase units, which will be filed with the SEC each time UAL issues stock purchase contracts or stock purchase units. Material United States federal income tax considerations applicable to the stock purchase units and the stock purchase contracts will also be discussed in the applicable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3" w:name="tDOSR"/>
      <w:bookmarkEnd w:id="1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SUBSCRIPTION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summary of certain provisions of the subscription rights does not purport to be complete and is subject to, and qualified in its entirety by reference to, the provisions of the certificate evidencing the subscription rights that will be filed with the SEC in connection with the offering of such subscription rights.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may issue subscription rights to purchase shares of UAL Common Stock, Preferred Stock, depositary shares or warrants to purchase shares of UAL Common Stock, Preferred Stock or depositary shares. Subscription rights may be issued independently or together with any other offered security and may or may not be transferable by the person purchasing or receiving the subscription rights. In connection with any subscription rights offering to UAL’s stockholders, UAL may enter into a standby underwriting arrangement with one or more underwriters pursuant to which such underwriters will purchase any offered securities remaining unsubscribed for after such subscription rights offering. In connection with a subscription rights offering to UAL’s stockholders, UAL will distribute certificates evidencing the subscription rights and a prospectus supplement to its stockholders on the record date that UAL sets for receiving subscription rights in such subscription rights offering.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applicable prospectus supplement will describe the following terms of subscription rights in respect of which this prospectus is being delivered: </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title of such subscription rights; </w:t>
      </w:r>
      <w:r>
        <mc:AlternateContent>
          <mc:Choice Requires="wps">
            <w:drawing>
              <wp:anchor behindDoc="0" distT="7493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securities for which such subscription rights are exercisable; </w:t>
      </w:r>
      <w:r>
        <mc:AlternateContent>
          <mc:Choice Requires="wps">
            <w:drawing>
              <wp:anchor behindDoc="0" distT="7493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exercise price for such subscription rights; </w:t>
      </w:r>
      <w:r>
        <mc:AlternateContent>
          <mc:Choice Requires="wps">
            <w:drawing>
              <wp:anchor behindDoc="0" distT="7493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number of such subscription rights issued to each stockholder; </w:t>
      </w:r>
      <w:r>
        <mc:AlternateContent>
          <mc:Choice Requires="wps">
            <w:drawing>
              <wp:anchor behindDoc="0" distT="7493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extent to which such subscription rights are transferable; </w:t>
      </w:r>
      <w:r>
        <mc:AlternateContent>
          <mc:Choice Requires="wps">
            <w:drawing>
              <wp:anchor behindDoc="0" distT="7493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date on which the right to exercise such subscription rights shall commence, and the date on which such rights shall expire (subject to any extension); </w:t>
      </w:r>
      <w:r>
        <mc:AlternateContent>
          <mc:Choice Requires="wps">
            <w:drawing>
              <wp:anchor behindDoc="0" distT="7493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extent to which such subscription rights include an over-subscription privilege with respect to unsubscribed securities; </w:t>
      </w:r>
      <w:r>
        <mc:AlternateContent>
          <mc:Choice Requires="wps">
            <w:drawing>
              <wp:anchor behindDoc="0" distT="74930" distB="0" distL="254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applicable, the material terms of any standby underwriting or other purchase arrangement that we may enter into in connection with the subscription rights offering; and </w:t>
      </w:r>
      <w:r>
        <mc:AlternateContent>
          <mc:Choice Requires="wps">
            <w:drawing>
              <wp:anchor behindDoc="0" distT="7493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other terms of such subscription rights, including terms, procedures and limitations relating to the exchange and exercise of such subscription rights. </w:t>
      </w:r>
      <w:r>
        <mc:AlternateContent>
          <mc:Choice Requires="wps">
            <w:drawing>
              <wp:anchor behindDoc="0" distT="7493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Exercise of Subscription Rights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subscription right will entitle the holder of the subscription right to purchase for cash such amount of shares of UAL Common Stock, Preferred Stock, depositary shares, warrants or any combination thereof,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will become void.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UAL will forward, as soon as practicable, the shares of UAL Common Stock, Preferred Stock, depositary shares or warrants purchasable upon such exercise. UAL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4" w:name="tDOW"/>
      <w:bookmarkEnd w:id="14"/>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DESCRIPTION OF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caps w:val="false"/>
          <w:smallCaps w:val="false"/>
          <w:color w:val="000000"/>
          <w:spacing w:val="4"/>
          <w:sz w:val="20"/>
          <w:shd w:fill="FFFFFF" w:val="clear"/>
        </w:rPr>
      </w:pPr>
      <w:r>
        <w:rPr>
          <w:rFonts w:ascii="Times New Roman;Times;serif" w:hAnsi="Times New Roman;Times;serif"/>
          <w:b w:val="false"/>
          <w:i/>
          <w:caps w:val="false"/>
          <w:smallCaps w:val="false"/>
          <w:color w:val="000000"/>
          <w:spacing w:val="4"/>
          <w:sz w:val="20"/>
          <w:shd w:fill="FFFFFF" w:val="clear"/>
        </w:rPr>
        <w:t xml:space="preserve">The following summary of certain provisions of the warrants does not purport to be complete and is subject to, and qualified in its entirety by reference to, the provisions of the warrant agreement that will be filed with the SEC in connection with the offering of such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General</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may issue warrants for the purchase of debt securities, UAL Common Stock or Preferred Stock. Warrants may be issued independently or together with debt securities, UAL Common Stock or Preferred Stock offered by any prospectus supplement and may be attached to or separate from any such offered securities. Each series of warrants will be issued under a separate warrant agreement to be entered into between UAL and a bank or trust company, as warrant agent. The warrant agent will act solely as UAL’s agent in connection with the warrants and will not assume any obligation or relationship of agency or trust for or with any holders or beneficial owners of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Debt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relating to a particular issue of debt warrants will describe the terms of such debt warrants, including the following: (a) the title of such debt warrants; (b) the offering price for such debt warrants, if any; (c) the aggregate number of such debt warrants; (d) the designation and terms of the debt securities purchasable upon exercise of such debt warrants; (e) if applicable, the designation and terms of the debt securities with which such debt warrants are issued and the number of such debt warrants issued with each such debt security; (f) if applicable, the date from and after which such debt warrants and any debt securities issued therewith will be separately transferable; (g) the principal amount of debt securities purchasable upon exercise of a debt warrant and the price at which such principal amount of debt securities may be purchased upon exercise (which price may be payable in cash, securities, or other property); (h) the date on which the right to exercise such debt warrants shall commence and the date on which such right shall expire; (i) if applicable, the minimum or maximum amount of such debt warrants that may be exercised at any one time; (j) whether the debt warrants represented by the debt warrant certificates or debt securities that may be issued upon exercise of the debt warrants will be issued in registered or bearer form; (k) information with respect to book-entry procedures, if any; (l) the currency or currency units in which the offering price, if any, and the exercise price are payable; (m) the anti-dilution provisions of such debt warrants, if any; (n) the redemption or call provisions, if any, applicable to such debt warrants; and (o) any additional terms of such debt warrants, including terms, procedures and limitations relating to the exchange and exercise of such debt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Stock Warrants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prospectus supplement relating to any particular issue of UAL Common Stock warrants or Preferred Stock warrants will describe the terms of such warrants, including the following: (a) the title of such warrants; (b) the offering price for such warrants, if any; (c) the aggregate number of such warrants; (d) the designation and terms of the UAL Common Stock or Preferred Stock purchasable upon exercise of such warrants; (e) if applicable, the designation and terms of the offered securities with which such warrants are issued and the number of such warrants issued with each such offered security; (f) if applicable, the date from and after which such warrants and any offered securities issued therewith will be separately transferable; (g) the number of shares of UAL Common Stock or Preferred Stock purchasable upon exercise of a warrant and the price at which such shares may be purchased upon exercise; (h) the date on which the right to exercise such warrants shall commence and the date on which such right shall expire; (i) if applicable, the minimum or maximum amount of such warrants that may be exercised at any one time; (j) the currency or currency units in which the offering price, if any, and the exercise price are payable; (k) the anti-dilution provisions of such warrants, if any; (l) the redemption or call provisions, if any, applicable to such warrants; and (m) any additional terms of such warrants, including terms, procedures and limitations relating to the exchange and exercise of such warrants.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5" w:name="tPOD"/>
      <w:bookmarkEnd w:id="15"/>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PLAN OF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and any selling security holder may offer and sell the securities covered by this prospectus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agents;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or through underwriters;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brokers or dealers; </w:t>
      </w:r>
      <w:r>
        <mc:AlternateContent>
          <mc:Choice Requires="wps">
            <w:drawing>
              <wp:anchor behindDoc="0" distT="7366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directly by us or any selling security holders to purchasers, including through a specific bidding, auction or other process; or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through a combination of any of these methods of sale.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Registration of the securities covered by this prospectus does not mean that those securities necessarily will be offered or sold.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effecting sales, brokers or dealers engaged by us may arrange for other brokers or dealers to participate. Broker-dealer transactions may include: </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purchases of the securities by a broker-dealer as principal and resales of the securities by the broker-dealer for its account pursuant to this prospectus;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ordinary brokerage transactions; or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transactions in which the broker-dealer solicits purchasers. </w:t>
      </w:r>
      <w:r>
        <mc:AlternateContent>
          <mc:Choice Requires="wps">
            <w:drawing>
              <wp:anchor behindDoc="0" distT="7366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addition, we and any selling security holder may sell any securities covered by this prospectus in private transactions or under Rule 144 under the Securities Act rather than pursuant to this prospectus.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agents or other persons acting on our behalf that participate in the distribution of the securities may be deemed to be “underwriters” within the meaning of the Securities Act, and any profit on the sale of the securities by them and any discounts, commissions or concessions received by any of those underwriters, broker-dealers agents or other persons may be deemed to be underwriting discounts and commissions under the Securities Act.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the distribution of the securities covered by this prospectus or otherwise, we or any selling stockholder may enter into hedging transactions with broker-dealers or other financial institutions. In connection with such transactions, broker-dealers or other financial institutions may engage in short sales of our securities in the course of hedging the positions they assume with us or any selling stockholder. We or any selling stockholder may also sell securities short and deliver the securities offered by this prospectus to close out our short positions. We or any selling security holder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or any selling security holder may also from time to time pledge our securities pursuant to the margin provisions of our customer agreements with our brokers. Upon our default, the broker may offer and sell such pledged securities from time to time pursuant to this prospectus, as supplemented or amended to reflect such transaction.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30</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be sold only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may solicit offers to purchase directly. Offers to purchase securities also may be solicited by agents designated by us from time to time. Any such agent involved in the offer or sale of the securities in respect of which this prospectus is delivered will be named, and any commissions payable by us to such agent will be set forth, in the applicable prospectus supplement. Unless otherwise indicated in such prospectus supplement, any such agent will be acting on a reasonable best efforts basis for the period of its appointment. Any such agent may be deemed to be an underwriter, as that term is defined in the Securities Act, of the securities so offered and sold.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may offer its equity securities into an existing trading market on the terms described in the applicable prospectus supplement. Underwriters, dealers and agents who may participate in any at-the-market offerings will be described in the prospectus supplement relating thereto.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Securities may also be offered and sold, if so indicated in the applicable prospectus supplement, in connection with a remarketing upon their purchase, in accordance with a redemption or repayment pursuant to their terms, or otherwise, by one or more firms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as that term is defined in the Securities Act, in connection with the securities remarketed thereby.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so indicated in the applicable prospectus supplement, we may authorize agents, dealers or underwriters to solicit offers by certain institutions to purchase securities from us at the public offering price set forth in the applicable prospectus supplement pursuant to delayed delivery contracts providing for payment and delivery on the date or dates stated in the applicable prospectus supplement. Such delayed delivery contracts will be subject to only those conditions set forth in the applicable prospectus supplement. A commission indicated in the applicable prospectus supplement will be paid to underwriters and agents soliciting purchases of securities pursuant to delayed delivery contracts accepted by us.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connection with an underwritten offering, we and any selling stockholder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or any selling security holder may grant to the underwriter or underwriters an option to purchase additional securities at the public offering price, less any underwriting discount, as may be set forth in the revised prospectus or applicable prospectus supplement. If we or any selling security holder grants any such option, the terms of that option will be set forth in the revised prospectus or applicable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Underwriters, agents, brokers or dealers may be entitled, pursuant to relevant agreements entered into with us, to indemnification by us or any selling security holder against certain civil liabilities, including liabilities under the Securities Act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6" w:name="tWYCF"/>
      <w:bookmarkEnd w:id="16"/>
      <w:r>
        <w:rPr>
          <w:rFonts w:ascii="calibri;arial;sans-serif" w:hAnsi="calibri;arial;sans-serif"/>
          <w:b w:val="false"/>
          <w:i w:val="false"/>
          <w:caps w:val="false"/>
          <w:smallCaps w:val="false"/>
          <w:sz w:val="18"/>
          <w:shd w:fill="E5E4E2" w:val="clear"/>
        </w:rPr>
        <w:t>​</w:t>
      </w:r>
      <w:bookmarkStart w:id="17" w:name="tIOCD"/>
      <w:bookmarkEnd w:id="1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and United file annual, quarterly and current reports and other information, and UAL files proxy statements with the SEC under the Exchange Act.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maintains an internet website that contains reports, proxy statements and other information about issuers, like us, who file reports electronically with the SEC. The address of that site is </w:t>
      </w:r>
      <w:r>
        <w:rPr>
          <w:rFonts w:ascii="Times New Roman;Times;serif" w:hAnsi="Times New Roman;Times;serif"/>
          <w:b w:val="false"/>
          <w:i/>
          <w:caps w:val="false"/>
          <w:smallCaps w:val="false"/>
          <w:color w:val="000000"/>
          <w:spacing w:val="4"/>
          <w:sz w:val="20"/>
          <w:shd w:fill="FFFFFF" w:val="clear"/>
        </w:rPr>
        <w:t>http://www.sec.gov.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filed with the SEC a registration statement on Form S-3, which includes this prospectus and which registers the securities that we may offer under this prospectus. The registration statement, including the exhibits and schedules thereto, contains additional relevant information about us and the securities offered. </w:t>
      </w:r>
    </w:p>
    <w:p>
      <w:pPr>
        <w:pStyle w:val="TextBody"/>
        <w:bidi w:val="0"/>
        <w:spacing w:lineRule="atLeast" w:line="240" w:before="234"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information into this prospectus. This means that we can disclose important information to you by referring you to another document filed separately with the SEC. The information incorporated by reference is considered to be part of this prospectus, except for any information that is superseded by subsequent incorporated documents or by information that is included directly in this prospectus or any prospectus supplement.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incorporates by reference the documents listed below that we previously have filed with the SEC (excluding any information that has been “furnished” but not “filed” for purposes of the Exchange Act) and that are not delivered with this prospectus. They contain important information about us and our financial condition. </w:t>
      </w:r>
    </w:p>
    <w:tbl>
      <w:tblPr>
        <w:tblW w:w="8732" w:type="dxa"/>
        <w:jc w:val="left"/>
        <w:tblInd w:w="1433" w:type="dxa"/>
        <w:tblLayout w:type="fixed"/>
        <w:tblCellMar>
          <w:top w:w="0" w:type="dxa"/>
          <w:left w:w="0" w:type="dxa"/>
          <w:bottom w:w="50" w:type="dxa"/>
          <w:right w:w="0" w:type="dxa"/>
        </w:tblCellMar>
      </w:tblPr>
      <w:tblGrid>
        <w:gridCol w:w="5700"/>
        <w:gridCol w:w="109"/>
        <w:gridCol w:w="109"/>
        <w:gridCol w:w="2659"/>
        <w:gridCol w:w="155"/>
      </w:tblGrid>
      <w:tr>
        <w:trPr/>
        <w:tc>
          <w:tcPr>
            <w:tcW w:w="5700" w:type="dxa"/>
            <w:tcBorders>
              <w:bottom w:val="single" w:sz="2" w:space="0" w:color="000000"/>
            </w:tcBorders>
            <w:vAlign w:val="center"/>
          </w:tcPr>
          <w:p>
            <w:pPr>
              <w:pStyle w:val="TableContents"/>
              <w:bidi w:val="0"/>
              <w:spacing w:before="0" w:after="0"/>
              <w:jc w:val="left"/>
              <w:rPr>
                <w:spacing w:val="-3"/>
              </w:rPr>
            </w:pPr>
            <w:r>
              <w:rPr>
                <w:spacing w:val="-3"/>
              </w:rPr>
              <w:t xml:space="preserve">Combined Filings by UAL and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9"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Annual Report on Form 10-K for the year ended December 31, 2025 (including those portions of UAL’s Definitive Proxy Statement on Schedule 14A filed with the SEC on April 7, 2026 that are specifically incorporated by reference into such Annual Report on Form 10-K)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0"/>
              <w:jc w:val="left"/>
              <w:rPr/>
            </w:pPr>
            <w:hyperlink r:id="rId2">
              <w:r>
                <w:rPr>
                  <w:rStyle w:val="InternetLink"/>
                  <w:spacing w:val="4"/>
                </w:rPr>
                <w:t>February 12, 2026</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March 31,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0"/>
              <w:jc w:val="left"/>
              <w:rPr/>
            </w:pPr>
            <w:hyperlink r:id="rId3">
              <w:r>
                <w:rPr>
                  <w:rStyle w:val="InternetLink"/>
                  <w:spacing w:val="4"/>
                </w:rPr>
                <w:t>April 22,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0"/>
              <w:jc w:val="left"/>
              <w:rPr/>
            </w:pPr>
            <w:hyperlink r:id="rId4">
              <w:r>
                <w:rPr>
                  <w:rStyle w:val="InternetLink"/>
                  <w:spacing w:val="4"/>
                </w:rPr>
                <w:t>July 16, 2026</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September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0"/>
              <w:jc w:val="left"/>
              <w:rPr/>
            </w:pPr>
            <w:hyperlink r:id="rId5">
              <w:r>
                <w:rPr>
                  <w:rStyle w:val="InternetLink"/>
                  <w:spacing w:val="4"/>
                </w:rPr>
                <w:t>October 21,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0"/>
              <w:jc w:val="left"/>
              <w:rPr/>
            </w:pPr>
            <w:hyperlink r:id="rId6">
              <w:r>
                <w:rPr>
                  <w:rStyle w:val="InternetLink"/>
                  <w:spacing w:val="4"/>
                </w:rPr>
                <w:t>February 2, 2026</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0"/>
              <w:jc w:val="left"/>
              <w:rPr/>
            </w:pPr>
            <w:hyperlink r:id="rId7">
              <w:r>
                <w:rPr>
                  <w:rStyle w:val="InternetLink"/>
                  <w:spacing w:val="4"/>
                </w:rPr>
                <w:t>February 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Common Stock, par value $0.01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283"/>
              <w:jc w:val="left"/>
              <w:rPr/>
            </w:pPr>
            <w:r>
              <w:rPr>
                <w:spacing w:val="4"/>
              </w:rPr>
              <w:t>   </w:t>
            </w:r>
            <w:r>
              <w:rPr/>
              <w:t xml:space="preserve"> </w:t>
            </w:r>
            <w:r>
              <w:rPr/>
              <w:br/>
            </w:r>
            <w:hyperlink r:id="rId8">
              <w:r>
                <w:rPr>
                  <w:rStyle w:val="InternetLink"/>
                  <w:spacing w:val="4"/>
                </w:rPr>
                <w:t>September 5, 2018</w:t>
              </w:r>
            </w:hyperlink>
            <w:r>
              <w:rPr>
                <w:spacing w:val="4"/>
              </w:rPr>
              <w:t xml:space="preserve">, including any amendments or reports filed to update such description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Preferred Stock Purchase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283"/>
              <w:jc w:val="left"/>
              <w:rPr/>
            </w:pPr>
            <w:r>
              <w:rPr>
                <w:spacing w:val="4"/>
              </w:rPr>
              <w:t>   </w:t>
            </w:r>
            <w:r>
              <w:rPr/>
              <w:t xml:space="preserve"> </w:t>
            </w:r>
            <w:r>
              <w:rPr/>
              <w:br/>
            </w:r>
            <w:hyperlink r:id="rId9">
              <w:r>
                <w:rPr>
                  <w:rStyle w:val="InternetLink"/>
                  <w:spacing w:val="4"/>
                </w:rPr>
                <w:t>December 7, 2020</w:t>
              </w:r>
            </w:hyperlink>
            <w:r>
              <w:rPr>
                <w:spacing w:val="4"/>
              </w:rPr>
              <w:t>, including any amendments or reports filed to update such description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tbl>
      <w:tblPr>
        <w:tblW w:w="4872" w:type="dxa"/>
        <w:jc w:val="left"/>
        <w:tblInd w:w="1433" w:type="dxa"/>
        <w:tblLayout w:type="fixed"/>
        <w:tblCellMar>
          <w:top w:w="0" w:type="dxa"/>
          <w:left w:w="0" w:type="dxa"/>
          <w:bottom w:w="50" w:type="dxa"/>
          <w:right w:w="0" w:type="dxa"/>
        </w:tblCellMar>
      </w:tblPr>
      <w:tblGrid>
        <w:gridCol w:w="2971"/>
        <w:gridCol w:w="109"/>
        <w:gridCol w:w="109"/>
        <w:gridCol w:w="1529"/>
        <w:gridCol w:w="154"/>
      </w:tblGrid>
      <w:tr>
        <w:trPr/>
        <w:tc>
          <w:tcPr>
            <w:tcW w:w="2971" w:type="dxa"/>
            <w:tcBorders>
              <w:bottom w:val="single" w:sz="2" w:space="0" w:color="000000"/>
            </w:tcBorders>
            <w:vAlign w:val="center"/>
          </w:tcPr>
          <w:p>
            <w:pPr>
              <w:pStyle w:val="TableContents"/>
              <w:bidi w:val="0"/>
              <w:spacing w:before="0" w:after="0"/>
              <w:jc w:val="left"/>
              <w:rPr>
                <w:spacing w:val="-3"/>
              </w:rPr>
            </w:pPr>
            <w:r>
              <w:rPr>
                <w:spacing w:val="-3"/>
              </w:rPr>
              <w:t xml:space="preserve">Filings by UAL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9"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1"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9" w:type="dxa"/>
            <w:tcBorders/>
            <w:shd w:fill="CCEEFF" w:val="clear"/>
            <w:tcMar>
              <w:bottom w:w="0" w:type="dxa"/>
            </w:tcMar>
            <w:vAlign w:val="center"/>
          </w:tcPr>
          <w:p>
            <w:pPr>
              <w:pStyle w:val="TableContents"/>
              <w:bidi w:val="0"/>
              <w:spacing w:before="0" w:after="0"/>
              <w:jc w:val="left"/>
              <w:rPr/>
            </w:pPr>
            <w:hyperlink r:id="rId10">
              <w:r>
                <w:rPr>
                  <w:rStyle w:val="InternetLink"/>
                  <w:spacing w:val="4"/>
                </w:rPr>
                <w:t>May 22, 2026</w:t>
              </w:r>
            </w:hyperlink>
            <w:r>
              <w:rPr>
                <w:spacing w:val="4"/>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26"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incorporate by reference additional documents that we may file with the SEC under Sections 13(a), 13(c), 14 or 15(d) of the Exchange Act (excluding any information that has been “furnished” but not “filed” for purposes of the Exchange Act) between the date of this prospectus and the termination of the offering of securities under this prospectus. These documents include our periodic reports, such as Annual Reports on Form 10-K, Quarterly Reports on Form 10-Q and Current Reports on Form 8-K, as well as our proxy statements.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18" w:name="tLEMA"/>
      <w:bookmarkEnd w:id="18"/>
      <w:r>
        <w:rPr>
          <w:rFonts w:ascii="calibri;arial;sans-serif" w:hAnsi="calibri;arial;sans-serif"/>
          <w:b w:val="false"/>
          <w:i w:val="false"/>
          <w:caps w:val="false"/>
          <w:smallCaps w:val="false"/>
          <w:sz w:val="18"/>
          <w:shd w:fill="E5E4E2" w:val="clear"/>
        </w:rPr>
        <w:t>​</w:t>
      </w:r>
      <w:bookmarkStart w:id="19" w:name="tEXP"/>
      <w:bookmarkEnd w:id="1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5080"/>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obtain any of these incorporated documents from us without charge, excluding any exhibits to those documents unless the exhibit is specifically incorporated by reference in such document. You may obtain documents incorporated by reference in this prospectus by requesting them from us in writing or by telephone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United Airlines Holdings,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United Airlines,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233 S. Wacker Drive</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Chicago, Illinois 60606</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(872) 825-4000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the applicable prospectus supplement, our counsel, Sidley Austin LLP, Chicago, Illinois and Houston, Texas, will pass upon the validity of the securities offered in this prospectus and any related prospectus supplement. The legality of the securities offered hereby and certain other matters for any underwriters, dealers or agents will be passed upon by counsel as may be specified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UAL appearing in UAL’s </w:t>
      </w:r>
      <w:hyperlink r:id="rId11">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and the effectiveness of UAL’s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United appearing in United’s </w:t>
      </w:r>
      <w:hyperlink r:id="rId1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717"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pacing w:val="-6"/>
          <w:sz w:val="32"/>
          <w:shd w:fill="FFFFFF" w:val="clear"/>
        </w:rPr>
        <w:t>United Airlines, Inc.</w:t>
      </w:r>
      <w:r>
        <w:rPr>
          <w:rFonts w:ascii="Times New Roman;Times;serif" w:hAnsi="Times New Roman;Times;serif"/>
          <w:b/>
          <w:i w:val="false"/>
          <w:caps w:val="false"/>
          <w:smallCaps w:val="false"/>
          <w:color w:val="000000"/>
          <w:spacing w:val="6"/>
          <w:sz w:val="32"/>
          <w:shd w:fill="FFFFFF" w:val="clear"/>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Pass Through Certificates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relates to pass through certificates to be issued by one or more trusts that United Airlines, Inc. will form, as creator of each pass through trust, with a national or state bank or trust company, as trustee. The trustee will hold all property owned by a trust for the benefit of holders of pass through certificates issued by that trust. Each pass through certificate issued by a trust will represent a beneficial interest in all property held by that trust. If stated in the applicable prospectus supplement and to the extent so stated, United Airlines Holdings, Inc., the holding company of United, may provide a guarantee of certain obligations of United relating to property owned by such a trust.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will describe the specific terms of any offering of pass through certificates in a prospectus supplement to this prospectus. You should carefully read this prospectus and the applicable prospectus supplement, together with the documents we incorporate by reference, before you invest in any pass through certificates.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may not be used to offer or sell any pass through certificates unless accompanied by a prospectus supplement. </w:t>
      </w:r>
    </w:p>
    <w:p>
      <w:pPr>
        <w:pStyle w:val="TextBody"/>
        <w:bidi w:val="0"/>
        <w:spacing w:lineRule="atLeast" w:line="240" w:before="160" w:after="283"/>
        <w:ind w:left="1433" w:right="40" w:firstLine="400"/>
        <w:jc w:val="left"/>
        <w:rPr/>
      </w:pPr>
      <w:r>
        <w:rPr>
          <w:rFonts w:ascii="Times New Roman;Times;serif" w:hAnsi="Times New Roman;Times;serif"/>
          <w:b/>
          <w:i/>
          <w:caps w:val="false"/>
          <w:smallCaps w:val="false"/>
          <w:color w:val="000000"/>
          <w:spacing w:val="-4"/>
          <w:sz w:val="20"/>
          <w:shd w:fill="FFFFFF" w:val="clear"/>
        </w:rPr>
        <w:t>Investing in our pass through certificates involves risks. See “Risk Factors” on page </w:t>
      </w:r>
      <w:hyperlink w:anchor="sRIFA">
        <w:r>
          <w:rPr>
            <w:rStyle w:val="InternetLink"/>
          </w:rPr>
          <w:t>2</w:t>
        </w:r>
      </w:hyperlink>
      <w:r>
        <w:rPr>
          <w:rFonts w:ascii="Times New Roman;Times;serif" w:hAnsi="Times New Roman;Times;serif"/>
          <w:b/>
          <w:i/>
          <w:caps w:val="false"/>
          <w:smallCaps w:val="false"/>
          <w:color w:val="000000"/>
          <w:spacing w:val="-4"/>
          <w:sz w:val="20"/>
          <w:shd w:fill="FFFFFF" w:val="clear"/>
        </w:rPr>
        <w:t xml:space="preserve"> of this prospectus.</w:t>
      </w:r>
      <w:r>
        <w:rPr>
          <w:rFonts w:ascii="Times New Roman;Times;serif" w:hAnsi="Times New Roman;Times;serif"/>
          <w:b/>
          <w:i/>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before="0" w:after="283"/>
        <w:jc w:val="center"/>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The date of this prospectus is October 21, 2026.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20" w:name="TOC2"/>
      <w:bookmarkEnd w:id="20"/>
      <w:r>
        <w:rPr>
          <w:rFonts w:ascii="calibri;arial;sans-serif" w:hAnsi="calibri;arial;sans-serif"/>
          <w:b w:val="false"/>
          <w:i w:val="false"/>
          <w:caps w:val="false"/>
          <w:smallCaps w:val="false"/>
          <w:sz w:val="18"/>
          <w:shd w:fill="E5E4E2" w:val="clear"/>
        </w:rPr>
        <w:t>​</w:t>
      </w:r>
      <w:bookmarkStart w:id="21" w:name="sATP"/>
      <w:bookmarkEnd w:id="21"/>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303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TABLE OF CONTENTS</w:t>
      </w:r>
      <w:r>
        <w:rPr>
          <w:rFonts w:ascii="Times New Roman;Times;serif" w:hAnsi="Times New Roman;Times;serif"/>
          <w:b/>
          <w:i w:val="false"/>
          <w:caps w:val="false"/>
          <w:smallCaps w:val="false"/>
          <w:color w:val="000000"/>
          <w:spacing w:val="4"/>
          <w:sz w:val="2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7753"/>
        <w:gridCol w:w="109"/>
        <w:gridCol w:w="109"/>
        <w:gridCol w:w="109"/>
        <w:gridCol w:w="109"/>
        <w:gridCol w:w="276"/>
        <w:gridCol w:w="109"/>
        <w:gridCol w:w="158"/>
      </w:tblGrid>
      <w:tr>
        <w:trPr/>
        <w:tc>
          <w:tcPr>
            <w:tcW w:w="77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7753" w:type="dxa"/>
            <w:tcBorders/>
            <w:shd w:fill="CCEEFF" w:val="clear"/>
            <w:tcMar>
              <w:bottom w:w="0" w:type="dxa"/>
            </w:tcMar>
            <w:vAlign w:val="center"/>
          </w:tcPr>
          <w:p>
            <w:pPr>
              <w:pStyle w:val="TableContents"/>
              <w:bidi w:val="0"/>
              <w:spacing w:before="0" w:after="0"/>
              <w:jc w:val="left"/>
              <w:rPr/>
            </w:pPr>
            <w:hyperlink w:anchor="s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76" w:type="dxa"/>
            <w:tcBorders/>
            <w:shd w:fill="CCEEFF" w:val="clear"/>
            <w:tcMar>
              <w:bottom w:w="0" w:type="dxa"/>
            </w:tcMar>
            <w:vAlign w:val="center"/>
          </w:tcPr>
          <w:p>
            <w:pPr>
              <w:pStyle w:val="TableContents"/>
              <w:bidi w:val="0"/>
              <w:spacing w:before="0" w:after="283"/>
              <w:jc w:val="right"/>
              <w:rPr/>
            </w:pPr>
            <w:hyperlink w:anchor="sATP">
              <w:r>
                <w:rPr>
                  <w:rStyle w:val="InternetLink"/>
                  <w:spacing w:val="4"/>
                </w:rPr>
                <w:t>1</w:t>
              </w:r>
            </w:hyperlink>
            <w:hyperlink w:anchor="s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753"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76" w:type="dxa"/>
            <w:tcBorders/>
            <w:tcMar>
              <w:bottom w:w="0" w:type="dxa"/>
            </w:tcMar>
            <w:vAlign w:val="center"/>
          </w:tcPr>
          <w:p>
            <w:pPr>
              <w:pStyle w:val="TableContents"/>
              <w:bidi w:val="0"/>
              <w:spacing w:before="0" w:after="283"/>
              <w:jc w:val="right"/>
              <w:rPr/>
            </w:pPr>
            <w:hyperlink w:anchor="sRIFA">
              <w:r>
                <w:rPr>
                  <w:rStyle w:val="InternetLink"/>
                  <w:spacing w:val="4"/>
                </w:rPr>
                <w:t>2</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753" w:type="dxa"/>
            <w:tcBorders/>
            <w:shd w:fill="CCEEFF" w:val="clear"/>
            <w:tcMar>
              <w:bottom w:w="0" w:type="dxa"/>
            </w:tcMar>
            <w:vAlign w:val="center"/>
          </w:tcPr>
          <w:p>
            <w:pPr>
              <w:pStyle w:val="TableContents"/>
              <w:bidi w:val="0"/>
              <w:spacing w:before="0" w:after="0"/>
              <w:jc w:val="left"/>
              <w:rPr/>
            </w:pPr>
            <w:hyperlink w:anchor="sCSCF">
              <w:r>
                <w:rPr>
                  <w:rStyle w:val="InternetLink"/>
                  <w:spacing w:val="4"/>
                </w:rPr>
                <w:t xml:space="preserve">CAUTIONARY STATEMENT CONCERNING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76" w:type="dxa"/>
            <w:tcBorders/>
            <w:shd w:fill="CCEEFF" w:val="clear"/>
            <w:tcMar>
              <w:bottom w:w="0" w:type="dxa"/>
            </w:tcMar>
            <w:vAlign w:val="center"/>
          </w:tcPr>
          <w:p>
            <w:pPr>
              <w:pStyle w:val="TableContents"/>
              <w:bidi w:val="0"/>
              <w:spacing w:before="0" w:after="283"/>
              <w:jc w:val="right"/>
              <w:rPr/>
            </w:pPr>
            <w:hyperlink w:anchor="sCSCF">
              <w:r>
                <w:rPr>
                  <w:rStyle w:val="InternetLink"/>
                  <w:spacing w:val="4"/>
                </w:rPr>
                <w:t>2</w:t>
              </w:r>
            </w:hyperlink>
            <w:hyperlink w:anchor="sCS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753" w:type="dxa"/>
            <w:tcBorders/>
            <w:tcMar>
              <w:bottom w:w="0" w:type="dxa"/>
            </w:tcMar>
            <w:vAlign w:val="center"/>
          </w:tcPr>
          <w:p>
            <w:pPr>
              <w:pStyle w:val="TableContents"/>
              <w:bidi w:val="0"/>
              <w:spacing w:before="0" w:after="0"/>
              <w:jc w:val="left"/>
              <w:rPr/>
            </w:pPr>
            <w:hyperlink w:anchor="sTHCO">
              <w:r>
                <w:rPr>
                  <w:rStyle w:val="InternetLink"/>
                  <w:spacing w:val="4"/>
                </w:rPr>
                <w:t xml:space="preserve">THE COMPANY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76" w:type="dxa"/>
            <w:tcBorders/>
            <w:tcMar>
              <w:bottom w:w="0" w:type="dxa"/>
            </w:tcMar>
            <w:vAlign w:val="center"/>
          </w:tcPr>
          <w:p>
            <w:pPr>
              <w:pStyle w:val="TableContents"/>
              <w:bidi w:val="0"/>
              <w:spacing w:before="0" w:after="283"/>
              <w:jc w:val="right"/>
              <w:rPr/>
            </w:pPr>
            <w:hyperlink w:anchor="sTHCO">
              <w:r>
                <w:rPr>
                  <w:rStyle w:val="InternetLink"/>
                  <w:spacing w:val="4"/>
                </w:rPr>
                <w:t>4</w:t>
              </w:r>
            </w:hyperlink>
            <w:hyperlink w:anchor="sTH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753"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76"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4</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753" w:type="dxa"/>
            <w:tcBorders/>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76" w:type="dxa"/>
            <w:tcBorders/>
            <w:tcMar>
              <w:bottom w:w="0" w:type="dxa"/>
            </w:tcMar>
            <w:vAlign w:val="center"/>
          </w:tcPr>
          <w:p>
            <w:pPr>
              <w:pStyle w:val="TableContents"/>
              <w:bidi w:val="0"/>
              <w:spacing w:before="0" w:after="283"/>
              <w:jc w:val="right"/>
              <w:rPr/>
            </w:pPr>
            <w:hyperlink w:anchor="sWYCF">
              <w:r>
                <w:rPr>
                  <w:rStyle w:val="InternetLink"/>
                  <w:spacing w:val="4"/>
                </w:rPr>
                <w:t>4</w:t>
              </w:r>
            </w:hyperlink>
            <w:hyperlink w:anchor="s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753" w:type="dxa"/>
            <w:tcBorders/>
            <w:shd w:fill="CCEEFF" w:val="clear"/>
            <w:tcMar>
              <w:bottom w:w="0" w:type="dxa"/>
            </w:tcMar>
            <w:vAlign w:val="center"/>
          </w:tcPr>
          <w:p>
            <w:pPr>
              <w:pStyle w:val="TableContents"/>
              <w:bidi w:val="0"/>
              <w:spacing w:before="0" w:after="0"/>
              <w:jc w:val="left"/>
              <w:rPr/>
            </w:pPr>
            <w:hyperlink w:anchor="sIOCD">
              <w:r>
                <w:rPr>
                  <w:rStyle w:val="InternetLink"/>
                  <w:spacing w:val="4"/>
                </w:rPr>
                <w:t xml:space="preserve">INCORPORATION OF CERTAIN DOCUMENTS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76" w:type="dxa"/>
            <w:tcBorders/>
            <w:shd w:fill="CCEEFF" w:val="clear"/>
            <w:tcMar>
              <w:bottom w:w="0" w:type="dxa"/>
            </w:tcMar>
            <w:vAlign w:val="center"/>
          </w:tcPr>
          <w:p>
            <w:pPr>
              <w:pStyle w:val="TableContents"/>
              <w:bidi w:val="0"/>
              <w:spacing w:before="0" w:after="283"/>
              <w:jc w:val="right"/>
              <w:rPr/>
            </w:pPr>
            <w:hyperlink w:anchor="sIOCD">
              <w:r>
                <w:rPr>
                  <w:rStyle w:val="InternetLink"/>
                  <w:spacing w:val="4"/>
                </w:rPr>
                <w:t>4</w:t>
              </w:r>
            </w:hyperlink>
            <w:hyperlink w:anchor="sIO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7753"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276" w:type="dxa"/>
            <w:tcBorders/>
            <w:tcMar>
              <w:bottom w:w="0" w:type="dxa"/>
            </w:tcMar>
            <w:vAlign w:val="center"/>
          </w:tcPr>
          <w:p>
            <w:pPr>
              <w:pStyle w:val="TableContents"/>
              <w:bidi w:val="0"/>
              <w:spacing w:before="0" w:after="283"/>
              <w:jc w:val="right"/>
              <w:rPr/>
            </w:pPr>
            <w:hyperlink w:anchor="sLEMA">
              <w:r>
                <w:rPr>
                  <w:rStyle w:val="InternetLink"/>
                  <w:spacing w:val="4"/>
                </w:rPr>
                <w:t>5</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7753"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276"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6</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ABOUT THIS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is part of a registration statement that we filed with the Securities and Exchange Commission (the “SEC”) using the “shelf” registration process. Under the shelf registration process, we may sell the pass through certificates described in this prospectus in one or more offerings from time to time. Each time we sell pass through certificates, we will provide a prospectus supplement that will contain specific information about the terms of that offering.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contains summaries of certain provisions contained in some of the documents described herein. Please refer to the actual documents for complete information. All of the summaries are qualified in their entirety by the actual documents. Copies of the documents referred to herein have been filed, or will be filed or incorporated by reference as exhibits to the registration statement of which this prospectus is a part, and you may obtain copies of those documents as described below under “Where You Can Find More Information.”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 this prospectus, unless the context otherwise requires, the terms “we,” “our,” “us” and the “Company” refer to United Airlines Holdings, Inc. and its subsidiaries, including United Airlines, Inc. </w:t>
      </w:r>
    </w:p>
    <w:p>
      <w:pPr>
        <w:pStyle w:val="TextBody"/>
        <w:bidi w:val="0"/>
        <w:spacing w:lineRule="atLeast" w:line="240" w:before="160" w:after="283"/>
        <w:ind w:left="1433" w:right="40" w:firstLine="40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You should rely only on the information contained in this prospectus or in a prospectus supplement accompanying this prospectus or on the information incorporated by reference therein. We have not authorized anyone to provide you with different information. The distribution of this prospectus and sale of these pass through certificates in certain jurisdictions may be restricted by law. Persons in possession of this prospectus are required to inform themselves about and observe any such restrictions. We are not making an offer to sell these pass through certificates in any jurisdiction where the offer or sale is not permitted. You should assume that the information appearing in this prospectus is accurate as of the date on the front cover of this prospectus only. Our business, financial condition, results of operations and prospects may have changed since that date.</w:t>
      </w:r>
      <w:r>
        <w:rPr>
          <w:rFonts w:ascii="Times New Roman;Times;serif" w:hAnsi="Times New Roman;Times;serif"/>
          <w:b/>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2" w:name="sRIFA"/>
      <w:bookmarkEnd w:id="22"/>
      <w:r>
        <w:rPr>
          <w:rFonts w:ascii="calibri;arial;sans-serif" w:hAnsi="calibri;arial;sans-serif"/>
          <w:b w:val="false"/>
          <w:i w:val="false"/>
          <w:caps w:val="false"/>
          <w:smallCaps w:val="false"/>
          <w:sz w:val="18"/>
          <w:shd w:fill="E5E4E2" w:val="clear"/>
        </w:rPr>
        <w:t>​</w:t>
      </w:r>
      <w:bookmarkStart w:id="23" w:name="sCSCF"/>
      <w:bookmarkEnd w:id="23"/>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RISK FACTORS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 investment in United’s pass through certificates involves risk. Before you invest in United’s pass through certificates, you should carefully consider the risks involved. Accordingly, you should carefully consider: </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contained in or incorporated by reference into this prospectus; </w:t>
      </w:r>
      <w:r>
        <mc:AlternateContent>
          <mc:Choice Requires="wps">
            <w:drawing>
              <wp:anchor behindDoc="0" distT="7747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information contained in or incorporated by reference into any prospectus supplement relating to specific offerings of securities; </w:t>
      </w:r>
      <w:r>
        <mc:AlternateContent>
          <mc:Choice Requires="wps">
            <w:drawing>
              <wp:anchor behindDoc="0" distT="7747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risks described in the Annual Report on Form 10-K of United Airlines Holdings, Inc. and United Airlines, Inc. for our most recent fiscal year and in any Quarterly Report on Form 10-Q that we have filed since our most recent Annual Report on Form 10-K, each of which is incorporated by reference into this prospectus; and </w:t>
      </w:r>
      <w:r>
        <mc:AlternateContent>
          <mc:Choice Requires="wps">
            <w:drawing>
              <wp:anchor behindDoc="0" distT="7747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2"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risks and other information that may be contained in, or incorporated by reference from, other filings we make with the SEC, including in any prospectus supplement relating to specific offerings of pass through certificates. </w:t>
      </w:r>
      <w:r>
        <mc:AlternateContent>
          <mc:Choice Requires="wps">
            <w:drawing>
              <wp:anchor behindDoc="0" distT="7747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discussion of risks related to our business contained in or incorporated by reference into this prospectus or into any prospectus supplement comprises material risks of which we are aware. If any of the events or developments described actually occurs, our business, financial condition or results of operations would likely suffer.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CAUTIONARY STATEMENT CONCERNING FORWARD-LOOKING STATEMENTS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the accompanying prospectus supplement and the documents incorporated or deemed incorporated by reference herein and therein contain “forward-looking statements” subject to the safe harbor created by the Private Securities Litigation Reform Act of 1995. These forward-looking statements are based on the current beliefs and expectations of our management with respect to future events and are subject to significant risks and uncertainties. These statements relate to future events, including our future performance, and management’s expectations, beliefs, intentions, plans or projections relating to the future, and some of these statements can be identified by the use of forward-looking terminology such as “believes,” “expects,” “anticipates,” “estimates,” “projects,” “intends,” “seeks,” “future,” “continue,” “contemplate,” “plans,” “predicts,” “would,” “will,” “may,” “should” and the negative or other variations of those terms or comparable terminology or by discussion of strategy, plans, opportunities or intentions. As a result, actual results, performance or achievements may vary materially from those anticipated by the forward-looking statements.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Among the factors that could cause actual results, performance or achievements to differ materially from those indicated by such forward-looking statements are: </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execution risks associated with our strategic operating plan; </w:t>
      </w:r>
      <w:r>
        <mc:AlternateContent>
          <mc:Choice Requires="wps">
            <w:drawing>
              <wp:anchor behindDoc="0" distT="7620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changes in our fleet and network strategy or other factors outside our control resulting in less economic aircraft orders, costs related to modification or termination of aircraft orders or entry into aircraft orders on less favorable terms, as well as any inability to accept or integrate new aircraft into our fleet as planned, including as a result of any mandatory groundings of aircraft; </w:t>
      </w:r>
      <w:r>
        <mc:AlternateContent>
          <mc:Choice Requires="wps">
            <w:drawing>
              <wp:anchor behindDoc="0" distT="7620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failure to effectively manage, and receive anticipated benefits and returns from, acquisitions, divestitures, investments, joint ventures and other portfolio actions, or related exposures to unknown liabilities or other issues or underperformance as compared to our expectations; </w:t>
      </w:r>
      <w:r>
        <mc:AlternateContent>
          <mc:Choice Requires="wps">
            <w:drawing>
              <wp:anchor behindDoc="0" distT="7620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adverse publicity, increased regulatory scrutiny, harm to our brand, reduced travel demand, potential tort liability and operational restrictions as a result of an accident, catastrophe or incident involving us, our regional carriers, our codeshare partners or another airline; </w:t>
      </w:r>
      <w:r>
        <mc:AlternateContent>
          <mc:Choice Requires="wps">
            <w:drawing>
              <wp:anchor behindDoc="0" distT="7620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0"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highly competitive nature of the global airline industry and susceptibility of the industry to price discounting and changes in capacity, including as a result of alliances, joint business arrangements or other consolidations; </w:t>
      </w:r>
      <w:r>
        <mc:AlternateContent>
          <mc:Choice Requires="wps">
            <w:drawing>
              <wp:anchor behindDoc="0" distT="7620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unfavorable developments affecting our MileagePlus loyalty program; </w:t>
      </w:r>
      <w:r>
        <mc:AlternateContent>
          <mc:Choice Requires="wps">
            <w:drawing>
              <wp:anchor behindDoc="0" distT="0" distB="0" distL="254000" distR="0" simplePos="0" locked="0" layoutInCell="1" allowOverlap="1" relativeHeight="135">
                <wp:simplePos x="0" y="0"/>
                <wp:positionH relativeFrom="column">
                  <wp:align>left</wp:align>
                </wp:positionH>
                <wp:positionV relativeFrom="line">
                  <wp:posOffset>635</wp:posOffset>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reliance on a limited number of suppliers to source a majority of our aircraft, engines and certain parts, and the impact of any failure to obtain timely deliveries, additional equipment or support from any of these suppliers;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unfavorable economic and political conditions in the United States and globally;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reliance on third-party service providers and the impact of any significant failure of these parties to perform as expected, or interruptions in our relationships with these providers or their provision of services;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extended interruptions or disruptions in service at major airports where we operate and space, facility and infrastructure constraints at our hubs or other airports (including as a result of government shutdowns);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geopolitical conflict, terrorist attacks or security events (including the suspension of our overflying in Russian airspace as a result of the Russia-Ukraine military conflict and interruptions of our flying as a result of military conflicts across the globe, as well as any escalation of the broader economic consequences of any conflicts beyond their current scope or a delay in any planned resumption of service to an area impacted by conflict);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any damage to our reputation or brand image;</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disruptions to our regional network and United Express flights provided by third-party regional carriers;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reliance on technology and automated systems to operate our business and the impact of any significant failure or disruption of, or failure to effectively integrate and implement, these technologies or systems; </w:t>
      </w:r>
      <w:r>
        <mc:AlternateContent>
          <mc:Choice Requires="wps">
            <w:drawing>
              <wp:anchor behindDoc="0" distT="7366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increasing privacy, data security and cybersecurity obligations or a significant data breach; </w:t>
      </w:r>
      <w:r>
        <mc:AlternateContent>
          <mc:Choice Requires="wps">
            <w:drawing>
              <wp:anchor behindDoc="0" distT="7366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increased use of social media platforms by us, our employees and others; </w:t>
      </w:r>
      <w:r>
        <mc:AlternateContent>
          <mc:Choice Requires="wps">
            <w:drawing>
              <wp:anchor behindDoc="0" distT="7366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impacts of union disputes, employee strikes or slowdowns, and other labor-related disruptions as well as increased employee and retiree health, pension, labor or regulatory compliance costs on our operations or financial performance; </w:t>
      </w:r>
      <w:r>
        <mc:AlternateContent>
          <mc:Choice Requires="wps">
            <w:drawing>
              <wp:anchor behindDoc="0" distT="7366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any failure to recruit, hire, develop or retain skilled personnel, including our senior management team or other key employees;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monetary and operational costs of compliance with extensive government regulation of the airline industry;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current or future litigation and regulatory actions, or failure to comply with the terms of any settlement, order or agreement relating to these actions;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costs, liabilities and risks associated with environmental regulation and climate change; </w:t>
      </w:r>
      <w:r>
        <mc:AlternateContent>
          <mc:Choice Requires="wps">
            <w:drawing>
              <wp:anchor behindDoc="0" distT="7493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high and/or volatile fuel prices or significant disruptions in the supply of aircraft fuel, including as a result of the geopolitical conflicts in the Middle East and in other regions; </w:t>
      </w:r>
      <w:r>
        <mc:AlternateContent>
          <mc:Choice Requires="wps">
            <w:drawing>
              <wp:anchor behindDoc="0" distT="7493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impacts of our significant amount of financial leverage from fixed obligations and the impacts of insufficient liquidity on our financial condition and business; </w:t>
      </w:r>
      <w:r>
        <mc:AlternateContent>
          <mc:Choice Requires="wps">
            <w:drawing>
              <wp:anchor behindDoc="0" distT="7493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failure to comply with financial and other covenants governing our debt; </w:t>
      </w:r>
      <w:r>
        <mc:AlternateContent>
          <mc:Choice Requires="wps">
            <w:drawing>
              <wp:anchor behindDoc="0" distT="7493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limitations on our ability to use our net operating loss carryforwards and certain other tax attributes to offset future taxable income for U.S. federal income tax purposes; </w:t>
      </w:r>
      <w:r>
        <mc:AlternateContent>
          <mc:Choice Requires="wps">
            <w:drawing>
              <wp:anchor behindDoc="0" distT="7493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our failure to realize the full value of our intangible assets or our long-lived assets, causing us to record impairments; </w:t>
      </w:r>
      <w:r>
        <mc:AlternateContent>
          <mc:Choice Requires="wps">
            <w:drawing>
              <wp:anchor behindDoc="0" distT="7493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fluctuations in the price of common stock of United Airlines Holdings, Inc.; </w:t>
      </w:r>
      <w:r>
        <mc:AlternateContent>
          <mc:Choice Requires="wps">
            <w:drawing>
              <wp:anchor behindDoc="0" distT="7493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1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impacts of seasonality and other factors associated with the airline industry; </w:t>
      </w:r>
      <w:r>
        <mc:AlternateContent>
          <mc:Choice Requires="wps">
            <w:drawing>
              <wp:anchor behindDoc="0" distT="7366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4" w:name="sTHCO"/>
      <w:bookmarkEnd w:id="24"/>
      <w:r>
        <w:rPr>
          <w:rFonts w:ascii="calibri;arial;sans-serif" w:hAnsi="calibri;arial;sans-serif"/>
          <w:b w:val="false"/>
          <w:i w:val="false"/>
          <w:caps w:val="false"/>
          <w:smallCaps w:val="false"/>
          <w:sz w:val="18"/>
          <w:shd w:fill="E5E4E2" w:val="clear"/>
        </w:rPr>
        <w:t>​</w:t>
      </w:r>
      <w:bookmarkStart w:id="25" w:name="sUOP"/>
      <w:bookmarkEnd w:id="25"/>
      <w:r>
        <w:rPr>
          <w:rFonts w:ascii="calibri;arial;sans-serif" w:hAnsi="calibri;arial;sans-serif"/>
          <w:b w:val="false"/>
          <w:i w:val="false"/>
          <w:caps w:val="false"/>
          <w:smallCaps w:val="false"/>
          <w:sz w:val="18"/>
          <w:shd w:fill="E5E4E2" w:val="clear"/>
        </w:rPr>
        <w:t>​</w:t>
      </w:r>
      <w:bookmarkStart w:id="26" w:name="sWYCF"/>
      <w:bookmarkEnd w:id="26"/>
      <w:r>
        <w:rPr>
          <w:rFonts w:ascii="calibri;arial;sans-serif" w:hAnsi="calibri;arial;sans-serif"/>
          <w:b w:val="false"/>
          <w:i w:val="false"/>
          <w:caps w:val="false"/>
          <w:smallCaps w:val="false"/>
          <w:sz w:val="18"/>
          <w:shd w:fill="E5E4E2" w:val="clear"/>
        </w:rPr>
        <w:t>​</w:t>
      </w:r>
      <w:bookmarkStart w:id="27" w:name="sIOCD"/>
      <w:bookmarkEnd w:id="27"/>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increases in insurance costs or inadequate insurance coverage; </w:t>
      </w:r>
      <w:r>
        <mc:AlternateContent>
          <mc:Choice Requires="wps">
            <w:drawing>
              <wp:anchor behindDoc="0" distT="0" distB="0" distL="254000" distR="0" simplePos="0" locked="0" layoutInCell="1" allowOverlap="1" relativeHeight="158">
                <wp:simplePos x="0" y="0"/>
                <wp:positionH relativeFrom="column">
                  <wp:align>left</wp:align>
                </wp:positionH>
                <wp:positionV relativeFrom="line">
                  <wp:posOffset>635</wp:posOffset>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6"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risks relating to our repurchase program for common stock and warrants of United Airlines Holdings, Inc.; and </w:t>
      </w:r>
      <w:r>
        <mc:AlternateContent>
          <mc:Choice Requires="wps">
            <w:drawing>
              <wp:anchor behindDoc="0" distT="8001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28" w:after="0"/>
        <w:ind w:left="20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other risks and uncertainties referred to in “Risk Factors” in this prospectus and the applicable prospectus supplement, and under “Risk Factors” and under “Management’s Discussion and Analysis of Financial Condition and Results of Operations” in the reports we file with the SEC. </w:t>
      </w:r>
      <w:r>
        <mc:AlternateContent>
          <mc:Choice Requires="wps">
            <w:drawing>
              <wp:anchor behindDoc="0" distT="8128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make these statements under the protection afforded by Section 27A of the Securities Act of 1933, as amended, and Section 21E of the Exchange Act. Because forward-looking statements are subject to assumptions and uncertainties, actual results, performance or achievements may differ materially from those expressed or implied by such forward-looking statements. You are cautioned not to place undue reliance on such statements, which speak only as of the date such statements are made. Except to the extent required by applicable law or regulation, we undertake no obligation to revise or update any forward-looking statement, or to make any other forward-looking statements, whether as a result of new information, future events or otherwise.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THE COMPANY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United Airlines Holdings, Inc. (“UAL”) is a holding company and its wholly-owned subsidiary is United Airlines, Inc. (“United”), which is a commercial airline.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Each of UAL and United is a Delaware corporation. The principal executive offices of UAL and United are located at 233 S. Wacker Drive, Chicago, Illinois 60606, telephone (872) 825-4000.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website for UAL and United is www.united.com. The information contained on or connected to this website is not incorporated by reference into this prospectus and should not be considered part of this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USE OF PROCEEDS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Unless otherwise indicated in an accompanying prospectus supplement, we intend to use the net proceeds from the sale of the securities to finance or refinance aircraft or for general corporate purposes, which may include repayment of indebtedness, the funding of a portion of our pension liabilities and our working capital requirements.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WHERE YOU CAN FIND MORE INFORMATION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UAL and United file annual, quarterly and current reports and other information, and UAL files proxy statements with the SEC under the Exchange Act.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maintains an internet website that contains reports, proxy statements and other information about issuers, like us, who file reports electronically with the SEC. The address of that site is </w:t>
      </w:r>
      <w:r>
        <w:rPr>
          <w:rFonts w:ascii="Times New Roman;Times;serif" w:hAnsi="Times New Roman;Times;serif"/>
          <w:b w:val="false"/>
          <w:i/>
          <w:caps w:val="false"/>
          <w:smallCaps w:val="false"/>
          <w:color w:val="000000"/>
          <w:spacing w:val="4"/>
          <w:sz w:val="20"/>
          <w:shd w:fill="FFFFFF" w:val="clear"/>
        </w:rPr>
        <w:t>http://www.sec.gov.</w:t>
      </w:r>
      <w:r>
        <w:rPr>
          <w:rFonts w:ascii="Times New Roman;Times;serif" w:hAnsi="Times New Roman;Times;serif"/>
          <w:b w:val="false"/>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have filed with the SEC a registration statement on Form S-3, which includes this prospectus and which registers the securities that we may offer under this prospectus. The registration statement, including the exhibits and schedules thereto, contains additional relevant information about us and the securities offered.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INCORPORATION OF CERTAIN DOCUMENTS BY REFERENCE</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SEC allows us to incorporate by reference information into this prospectus. This means that we can disclose important information to you by referring you to another document filed separately with the SEC. The information incorporated by reference is considered to be part of this prospectus, except for any information that is superseded by subsequent incorporated documents or by information that is included directly in this prospectus or any prospectus supplement.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This prospectus incorporates by reference the documents listed below that we previously have filed with the SEC (excluding any information that has been “furnished” but not “filed” for purposes of the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8" w:name="sLEMA"/>
      <w:bookmarkEnd w:id="28"/>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Exchange Act) and that are not delivered with this prospectus. They contain important information about us and our financial condition. </w:t>
      </w:r>
    </w:p>
    <w:tbl>
      <w:tblPr>
        <w:tblW w:w="8732" w:type="dxa"/>
        <w:jc w:val="left"/>
        <w:tblInd w:w="1433" w:type="dxa"/>
        <w:tblLayout w:type="fixed"/>
        <w:tblCellMar>
          <w:top w:w="0" w:type="dxa"/>
          <w:left w:w="0" w:type="dxa"/>
          <w:bottom w:w="50" w:type="dxa"/>
          <w:right w:w="0" w:type="dxa"/>
        </w:tblCellMar>
      </w:tblPr>
      <w:tblGrid>
        <w:gridCol w:w="5700"/>
        <w:gridCol w:w="109"/>
        <w:gridCol w:w="109"/>
        <w:gridCol w:w="2659"/>
        <w:gridCol w:w="155"/>
      </w:tblGrid>
      <w:tr>
        <w:trPr/>
        <w:tc>
          <w:tcPr>
            <w:tcW w:w="5700" w:type="dxa"/>
            <w:tcBorders>
              <w:bottom w:val="single" w:sz="2" w:space="0" w:color="000000"/>
            </w:tcBorders>
            <w:vAlign w:val="center"/>
          </w:tcPr>
          <w:p>
            <w:pPr>
              <w:pStyle w:val="TableContents"/>
              <w:bidi w:val="0"/>
              <w:spacing w:before="0" w:after="0"/>
              <w:jc w:val="left"/>
              <w:rPr>
                <w:spacing w:val="-3"/>
              </w:rPr>
            </w:pPr>
            <w:r>
              <w:rPr>
                <w:spacing w:val="-3"/>
              </w:rPr>
              <w:t xml:space="preserve">Combined Filings by UAL and United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659"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Annual Report on Form 10-K for the year ended December 31, 2025 (including those portions of UAL’s Definitive Proxy Statement on Schedule 14A filed with the SEC on April 7, 2026 that are specifically incorporated by reference into such Annual Report on Form 10-K)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0"/>
              <w:jc w:val="left"/>
              <w:rPr/>
            </w:pPr>
            <w:hyperlink r:id="rId13">
              <w:r>
                <w:rPr>
                  <w:rStyle w:val="InternetLink"/>
                  <w:spacing w:val="4"/>
                </w:rPr>
                <w:t>February 12, 2026</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March 31,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0"/>
              <w:jc w:val="left"/>
              <w:rPr/>
            </w:pPr>
            <w:hyperlink r:id="rId14">
              <w:r>
                <w:rPr>
                  <w:rStyle w:val="InternetLink"/>
                  <w:spacing w:val="4"/>
                </w:rPr>
                <w:t>April 22,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June 30,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0"/>
              <w:jc w:val="left"/>
              <w:rPr/>
            </w:pPr>
            <w:hyperlink r:id="rId15">
              <w:r>
                <w:rPr>
                  <w:rStyle w:val="InternetLink"/>
                  <w:spacing w:val="4"/>
                </w:rPr>
                <w:t>July 16, 2026</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ind w:left="200" w:right="0" w:hanging="200"/>
              <w:jc w:val="left"/>
              <w:rPr>
                <w:spacing w:val="4"/>
              </w:rPr>
            </w:pPr>
            <w:r>
              <w:rPr>
                <w:spacing w:val="4"/>
              </w:rPr>
              <w:t xml:space="preserve">Quarterly Report on Form 10-Q for the quarter ended September 30,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0"/>
              <w:jc w:val="left"/>
              <w:rPr/>
            </w:pPr>
            <w:hyperlink r:id="rId16">
              <w:r>
                <w:rPr>
                  <w:rStyle w:val="InternetLink"/>
                  <w:spacing w:val="4"/>
                </w:rPr>
                <w:t>October 21,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0"/>
              <w:jc w:val="left"/>
              <w:rPr/>
            </w:pPr>
            <w:hyperlink r:id="rId17">
              <w:r>
                <w:rPr>
                  <w:rStyle w:val="InternetLink"/>
                  <w:spacing w:val="4"/>
                </w:rPr>
                <w:t>February 2, 2026</w:t>
              </w:r>
            </w:hyperlink>
            <w:r>
              <w:rPr>
                <w:spacing w:val="4"/>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0"/>
              <w:jc w:val="left"/>
              <w:rPr/>
            </w:pPr>
            <w:hyperlink r:id="rId18">
              <w:r>
                <w:rPr>
                  <w:rStyle w:val="InternetLink"/>
                  <w:spacing w:val="4"/>
                </w:rPr>
                <w:t>February 6, 2026</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5700"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Common Stock, par value $0.01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659" w:type="dxa"/>
            <w:tcBorders/>
            <w:shd w:fill="CCEEFF" w:val="clear"/>
            <w:tcMar>
              <w:bottom w:w="0" w:type="dxa"/>
            </w:tcMar>
            <w:vAlign w:val="center"/>
          </w:tcPr>
          <w:p>
            <w:pPr>
              <w:pStyle w:val="TableContents"/>
              <w:bidi w:val="0"/>
              <w:spacing w:before="0" w:after="283"/>
              <w:jc w:val="left"/>
              <w:rPr/>
            </w:pPr>
            <w:r>
              <w:rPr>
                <w:spacing w:val="4"/>
              </w:rPr>
              <w:t>   </w:t>
            </w:r>
            <w:r>
              <w:rPr/>
              <w:t xml:space="preserve"> </w:t>
            </w:r>
            <w:r>
              <w:rPr/>
              <w:br/>
            </w:r>
            <w:hyperlink r:id="rId19">
              <w:r>
                <w:rPr>
                  <w:rStyle w:val="InternetLink"/>
                  <w:spacing w:val="4"/>
                </w:rPr>
                <w:t>September 5, 2018</w:t>
              </w:r>
            </w:hyperlink>
            <w:r>
              <w:rPr>
                <w:spacing w:val="4"/>
              </w:rPr>
              <w:t xml:space="preserve">, including any amendments or reports filed to update such description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700" w:type="dxa"/>
            <w:tcBorders/>
            <w:tcMar>
              <w:bottom w:w="0" w:type="dxa"/>
            </w:tcMar>
            <w:vAlign w:val="center"/>
          </w:tcPr>
          <w:p>
            <w:pPr>
              <w:pStyle w:val="TableContents"/>
              <w:bidi w:val="0"/>
              <w:spacing w:before="0" w:after="0"/>
              <w:ind w:left="200" w:right="0" w:hanging="200"/>
              <w:jc w:val="left"/>
              <w:rPr>
                <w:spacing w:val="4"/>
              </w:rPr>
            </w:pPr>
            <w:r>
              <w:rPr>
                <w:spacing w:val="4"/>
              </w:rPr>
              <w:t xml:space="preserve">Registration Statement on Form 8-A, description of UAL’s Preferred Stock Purchase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59" w:type="dxa"/>
            <w:tcBorders/>
            <w:tcMar>
              <w:bottom w:w="0" w:type="dxa"/>
            </w:tcMar>
            <w:vAlign w:val="center"/>
          </w:tcPr>
          <w:p>
            <w:pPr>
              <w:pStyle w:val="TableContents"/>
              <w:bidi w:val="0"/>
              <w:spacing w:before="0" w:after="283"/>
              <w:jc w:val="left"/>
              <w:rPr/>
            </w:pPr>
            <w:r>
              <w:rPr>
                <w:spacing w:val="4"/>
              </w:rPr>
              <w:t>   </w:t>
            </w:r>
            <w:r>
              <w:rPr/>
              <w:t xml:space="preserve"> </w:t>
            </w:r>
            <w:r>
              <w:rPr/>
              <w:br/>
            </w:r>
            <w:hyperlink r:id="rId20">
              <w:r>
                <w:rPr>
                  <w:rStyle w:val="InternetLink"/>
                  <w:spacing w:val="4"/>
                </w:rPr>
                <w:t>December 7, 2020</w:t>
              </w:r>
            </w:hyperlink>
            <w:r>
              <w:rPr>
                <w:spacing w:val="4"/>
              </w:rPr>
              <w:t>, including any amendments or reports filed to update such description</w:t>
            </w:r>
            <w:r>
              <w:rPr/>
              <w:t xml:space="preserve"> </w:t>
            </w:r>
          </w:p>
        </w:tc>
        <w:tc>
          <w:tcPr>
            <w:tcW w:w="155" w:type="dxa"/>
            <w:tcBorders/>
            <w:tcMar>
              <w:bottom w:w="0" w:type="dxa"/>
            </w:tcMar>
            <w:vAlign w:val="center"/>
          </w:tcPr>
          <w:p>
            <w:pPr>
              <w:pStyle w:val="TableContents"/>
              <w:bidi w:val="0"/>
              <w:spacing w:before="0" w:after="283"/>
              <w:jc w:val="left"/>
              <w:rPr/>
            </w:pPr>
            <w:r>
              <w:rPr/>
              <w:t>​</w:t>
            </w:r>
          </w:p>
        </w:tc>
      </w:tr>
    </w:tbl>
    <w:tbl>
      <w:tblPr>
        <w:tblW w:w="4872" w:type="dxa"/>
        <w:jc w:val="left"/>
        <w:tblInd w:w="1433" w:type="dxa"/>
        <w:tblLayout w:type="fixed"/>
        <w:tblCellMar>
          <w:top w:w="0" w:type="dxa"/>
          <w:left w:w="0" w:type="dxa"/>
          <w:bottom w:w="50" w:type="dxa"/>
          <w:right w:w="0" w:type="dxa"/>
        </w:tblCellMar>
      </w:tblPr>
      <w:tblGrid>
        <w:gridCol w:w="2971"/>
        <w:gridCol w:w="109"/>
        <w:gridCol w:w="109"/>
        <w:gridCol w:w="1529"/>
        <w:gridCol w:w="154"/>
      </w:tblGrid>
      <w:tr>
        <w:trPr/>
        <w:tc>
          <w:tcPr>
            <w:tcW w:w="2971" w:type="dxa"/>
            <w:tcBorders>
              <w:bottom w:val="single" w:sz="2" w:space="0" w:color="000000"/>
            </w:tcBorders>
            <w:vAlign w:val="center"/>
          </w:tcPr>
          <w:p>
            <w:pPr>
              <w:pStyle w:val="TableContents"/>
              <w:bidi w:val="0"/>
              <w:spacing w:before="0" w:after="0"/>
              <w:jc w:val="left"/>
              <w:rPr>
                <w:spacing w:val="-3"/>
              </w:rPr>
            </w:pPr>
            <w:r>
              <w:rPr>
                <w:spacing w:val="-3"/>
              </w:rPr>
              <w:t xml:space="preserve">Filings by UAL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9" w:type="dxa"/>
            <w:tcBorders>
              <w:bottom w:val="single" w:sz="2" w:space="0" w:color="000000"/>
            </w:tcBorders>
            <w:vAlign w:val="center"/>
          </w:tcPr>
          <w:p>
            <w:pPr>
              <w:pStyle w:val="TableContents"/>
              <w:bidi w:val="0"/>
              <w:spacing w:before="0" w:after="0"/>
              <w:jc w:val="center"/>
              <w:rPr>
                <w:spacing w:val="-3"/>
              </w:rPr>
            </w:pPr>
            <w:r>
              <w:rPr>
                <w:spacing w:val="-3"/>
              </w:rPr>
              <w:t xml:space="preserve">Date Filed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71" w:type="dxa"/>
            <w:tcBorders/>
            <w:shd w:fill="CCEEFF" w:val="clear"/>
            <w:tcMar>
              <w:bottom w:w="0" w:type="dxa"/>
            </w:tcMar>
            <w:vAlign w:val="center"/>
          </w:tcPr>
          <w:p>
            <w:pPr>
              <w:pStyle w:val="TableContents"/>
              <w:bidi w:val="0"/>
              <w:spacing w:before="0" w:after="0"/>
              <w:jc w:val="left"/>
              <w:rPr>
                <w:spacing w:val="4"/>
              </w:rPr>
            </w:pPr>
            <w:r>
              <w:rPr>
                <w:spacing w:val="4"/>
              </w:rPr>
              <w:t xml:space="preserve">Current Report on Form 8-K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29" w:type="dxa"/>
            <w:tcBorders/>
            <w:shd w:fill="CCEEFF" w:val="clear"/>
            <w:tcMar>
              <w:bottom w:w="0" w:type="dxa"/>
            </w:tcMar>
            <w:vAlign w:val="center"/>
          </w:tcPr>
          <w:p>
            <w:pPr>
              <w:pStyle w:val="TableContents"/>
              <w:bidi w:val="0"/>
              <w:spacing w:before="0" w:after="0"/>
              <w:jc w:val="left"/>
              <w:rPr/>
            </w:pPr>
            <w:hyperlink r:id="rId21">
              <w:r>
                <w:rPr>
                  <w:rStyle w:val="InternetLink"/>
                  <w:spacing w:val="4"/>
                </w:rPr>
                <w:t>May 22, 2026</w:t>
              </w:r>
            </w:hyperlink>
            <w:r>
              <w:rPr>
                <w:spacing w:val="4"/>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20" w:before="148"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We incorporate by reference additional documents that we may file with the SEC under Sections 13(a), 13(c), 14 or 15(d) of the Exchange Act (excluding any information that has been “furnished” but not “filed” for purposes of the Exchange Act) between the date of this prospectus and the termination of the offering of securities under this prospectus. These documents include our periodic reports, such as Annual Reports on Form 10-K, Quarterly Reports on Form 10-Q and Current Reports on Form 8-K, as well as our proxy statements. </w:t>
      </w:r>
    </w:p>
    <w:p>
      <w:pPr>
        <w:pStyle w:val="TextBody"/>
        <w:bidi w:val="0"/>
        <w:spacing w:lineRule="atLeast" w:line="22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You may obtain any of these incorporated documents from us without charge, excluding any exhibits to those documents unless the exhibit is specifically incorporated by reference in such document. You may obtain documents incorporated by reference in this prospectus by requesting them from us in writing or by telephone at the following address: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United Airlines Holdings,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United Airlines, Inc.</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233 S. Wacker Drive</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Chicago, Illinois 60606</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(872) 825-4000</w:t>
      </w:r>
      <w:r>
        <w:rPr>
          <w:rFonts w:ascii="Times New Roman;Times;serif" w:hAnsi="Times New Roman;Times;serif"/>
          <w:b w:val="false"/>
          <w:i w:val="false"/>
          <w:caps w:val="false"/>
          <w:smallCaps w:val="false"/>
          <w:color w:val="000000"/>
          <w:sz w:val="20"/>
          <w:shd w:fill="FFFFFF" w:val="clear"/>
        </w:rPr>
        <w:t xml:space="preserve"> </w:t>
        <w:br/>
      </w:r>
      <w:r>
        <w:rPr>
          <w:rFonts w:ascii="Times New Roman;Times;serif" w:hAnsi="Times New Roman;Times;serif"/>
          <w:b w:val="false"/>
          <w:i w:val="false"/>
          <w:caps w:val="false"/>
          <w:smallCaps w:val="false"/>
          <w:color w:val="000000"/>
          <w:spacing w:val="4"/>
          <w:sz w:val="20"/>
          <w:shd w:fill="FFFFFF" w:val="clear"/>
        </w:rPr>
        <w:t xml:space="preserve">Attention: Corporate Secretary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LEGAL MATTERS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Sidley Austin LLP, Chicago, Illinois and Houston, Texas, will pass upon the validity of the securities being offered by this prospectus for us. Unless otherwise indicated in the applicable prospectus supplement, our counsel, Hughes Hubbard &amp; Reed LLP, New York, New York, will pass upon the validity of the pass through certificates being offered by such prospectus supplement. The legality of the securities offered hereby and certain other matters for any underwriters, dealers or agents will be passed upon by counsel as may be specified in the applicable prospectus supplement.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bookmarkStart w:id="29" w:name="sEXP"/>
      <w:bookmarkEnd w:id="29"/>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972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EXPERTS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UAL appearing in UAL’s </w:t>
      </w:r>
      <w:hyperlink r:id="rId2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and the effectiveness of UAL’s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lineRule="atLeast" w:line="240" w:before="160" w:after="283"/>
        <w:ind w:left="1433" w:right="40" w:firstLine="400"/>
        <w:jc w:val="left"/>
        <w:rPr/>
      </w:pPr>
      <w:r>
        <w:rPr>
          <w:rFonts w:ascii="Times New Roman;Times;serif" w:hAnsi="Times New Roman;Times;serif"/>
          <w:b w:val="false"/>
          <w:i w:val="false"/>
          <w:caps w:val="false"/>
          <w:smallCaps w:val="false"/>
          <w:color w:val="000000"/>
          <w:spacing w:val="4"/>
          <w:sz w:val="20"/>
          <w:shd w:fill="FFFFFF" w:val="clear"/>
        </w:rPr>
        <w:t xml:space="preserve">The consolidated financial statements of United appearing in United’s </w:t>
      </w:r>
      <w:hyperlink r:id="rId2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shd w:fill="FFFFFF" w:val="clear"/>
        </w:rPr>
        <w:t xml:space="preserve">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2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PART II</w:t>
      </w:r>
      <w:r>
        <w:rPr>
          <w:rFonts w:ascii="Times New Roman;Times;serif" w:hAnsi="Times New Roman;Times;serif"/>
          <w:b/>
          <w:i w:val="false"/>
          <w:caps w:val="false"/>
          <w:smallCaps w:val="false"/>
          <w:color w:val="000000"/>
          <w:sz w:val="20"/>
          <w:shd w:fill="FFFFFF" w:val="clear"/>
        </w:rPr>
        <w:t xml:space="preserve"> </w:t>
        <w:br/>
      </w:r>
      <w:r>
        <w:rPr>
          <w:rFonts w:ascii="Times New Roman;Times;serif" w:hAnsi="Times New Roman;Times;serif"/>
          <w:b/>
          <w:i w:val="false"/>
          <w:caps w:val="false"/>
          <w:smallCaps w:val="false"/>
          <w:color w:val="000000"/>
          <w:spacing w:val="-4"/>
          <w:sz w:val="20"/>
          <w:shd w:fill="FFFFFF" w:val="clear"/>
        </w:rPr>
        <w:t>INFORMATION NOT REQUIRED IN PROSPECTUS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14.   Other Expenses of Issuance and Distribution.</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following table sets forth the estimated costs and expenses, other than underwriting discounts and commissions, payable by UAL or United in connection with the sale or distribution of the securities registered under this registration statement. </w:t>
      </w:r>
    </w:p>
    <w:tbl>
      <w:tblPr>
        <w:tblW w:w="5850" w:type="dxa"/>
        <w:jc w:val="left"/>
        <w:tblInd w:w="1433" w:type="dxa"/>
        <w:tblLayout w:type="fixed"/>
        <w:tblCellMar>
          <w:top w:w="0" w:type="dxa"/>
          <w:left w:w="0" w:type="dxa"/>
          <w:bottom w:w="28" w:type="dxa"/>
          <w:right w:w="0" w:type="dxa"/>
        </w:tblCellMar>
      </w:tblPr>
      <w:tblGrid>
        <w:gridCol w:w="3743"/>
        <w:gridCol w:w="109"/>
        <w:gridCol w:w="109"/>
        <w:gridCol w:w="109"/>
        <w:gridCol w:w="226"/>
        <w:gridCol w:w="1291"/>
        <w:gridCol w:w="109"/>
        <w:gridCol w:w="154"/>
      </w:tblGrid>
      <w:tr>
        <w:trPr/>
        <w:tc>
          <w:tcPr>
            <w:tcW w:w="37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43"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291" w:type="dxa"/>
            <w:tcBorders/>
            <w:shd w:fill="CCEEFF" w:val="clear"/>
            <w:tcMar>
              <w:bottom w:w="0" w:type="dxa"/>
            </w:tcMar>
            <w:vAlign w:val="center"/>
          </w:tcPr>
          <w:p>
            <w:pPr>
              <w:pStyle w:val="TableContents"/>
              <w:bidi w:val="0"/>
              <w:spacing w:before="0" w:after="283"/>
              <w:jc w:val="right"/>
              <w:rPr/>
            </w:pPr>
            <w:r>
              <w:rPr/>
              <w:t>        </w:t>
            </w:r>
            <w:r>
              <w:rPr>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43" w:type="dxa"/>
            <w:tcBorders/>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291" w:type="dxa"/>
            <w:tcBorders/>
            <w:tcMar>
              <w:bottom w:w="0" w:type="dxa"/>
            </w:tcMar>
            <w:vAlign w:val="center"/>
          </w:tcPr>
          <w:p>
            <w:pPr>
              <w:pStyle w:val="TableContents"/>
              <w:bidi w:val="0"/>
              <w:spacing w:before="0" w:after="0"/>
              <w:jc w:val="right"/>
              <w:rPr/>
            </w:pPr>
            <w:r>
              <w:rPr/>
              <w:t>​</w:t>
            </w:r>
            <w:r>
              <w:rPr>
                <w:sz w:val="13"/>
              </w:rPr>
              <w:t>(2)</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43" w:type="dxa"/>
            <w:tcBorders/>
            <w:shd w:fill="CCEEFF" w:val="clear"/>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291" w:type="dxa"/>
            <w:tcBorders/>
            <w:shd w:fill="CCEEFF" w:val="clear"/>
            <w:tcMar>
              <w:bottom w:w="0" w:type="dxa"/>
            </w:tcMar>
            <w:vAlign w:val="center"/>
          </w:tcPr>
          <w:p>
            <w:pPr>
              <w:pStyle w:val="TableContents"/>
              <w:bidi w:val="0"/>
              <w:spacing w:before="0" w:after="0"/>
              <w:jc w:val="right"/>
              <w:rPr/>
            </w:pPr>
            <w:r>
              <w:rPr/>
              <w:t>​</w:t>
            </w:r>
            <w:r>
              <w:rPr>
                <w:sz w:val="13"/>
              </w:rPr>
              <w:t>(2)</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43" w:type="dxa"/>
            <w:tcBorders/>
            <w:tcMar>
              <w:bottom w:w="0" w:type="dxa"/>
            </w:tcMar>
            <w:vAlign w:val="center"/>
          </w:tcPr>
          <w:p>
            <w:pPr>
              <w:pStyle w:val="TableContents"/>
              <w:bidi w:val="0"/>
              <w:spacing w:before="0" w:after="0"/>
              <w:jc w:val="left"/>
              <w:rPr>
                <w:spacing w:val="4"/>
              </w:rPr>
            </w:pPr>
            <w:r>
              <w:rPr>
                <w:spacing w:val="4"/>
              </w:rPr>
              <w:t xml:space="preserve">Rating agency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0"/>
              <w:jc w:val="right"/>
              <w:rPr/>
            </w:pPr>
            <w:r>
              <w:rPr/>
              <w:t>​</w:t>
            </w:r>
          </w:p>
        </w:tc>
        <w:tc>
          <w:tcPr>
            <w:tcW w:w="1291" w:type="dxa"/>
            <w:tcBorders/>
            <w:tcMar>
              <w:bottom w:w="0" w:type="dxa"/>
            </w:tcMar>
            <w:vAlign w:val="center"/>
          </w:tcPr>
          <w:p>
            <w:pPr>
              <w:pStyle w:val="TableContents"/>
              <w:bidi w:val="0"/>
              <w:spacing w:before="0" w:after="0"/>
              <w:jc w:val="right"/>
              <w:rPr/>
            </w:pPr>
            <w:r>
              <w:rPr/>
              <w:t>​</w:t>
            </w:r>
            <w:r>
              <w:rPr>
                <w:sz w:val="13"/>
              </w:rPr>
              <w:t>(2)</w:t>
            </w:r>
            <w:r>
              <w:rPr>
                <w:sz w:val="15"/>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43" w:type="dxa"/>
            <w:tcBorders/>
            <w:shd w:fill="CCEEFF" w:val="clear"/>
            <w:tcMar>
              <w:bottom w:w="0" w:type="dxa"/>
            </w:tcMar>
            <w:vAlign w:val="center"/>
          </w:tcPr>
          <w:p>
            <w:pPr>
              <w:pStyle w:val="TableContents"/>
              <w:bidi w:val="0"/>
              <w:spacing w:before="0" w:after="0"/>
              <w:jc w:val="left"/>
              <w:rPr>
                <w:spacing w:val="4"/>
              </w:rPr>
            </w:pPr>
            <w:r>
              <w:rPr>
                <w:spacing w:val="4"/>
              </w:rPr>
              <w:t xml:space="preserve">Trustee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0"/>
              <w:jc w:val="right"/>
              <w:rPr/>
            </w:pPr>
            <w:r>
              <w:rPr/>
              <w:t>​</w:t>
            </w:r>
          </w:p>
        </w:tc>
        <w:tc>
          <w:tcPr>
            <w:tcW w:w="1291" w:type="dxa"/>
            <w:tcBorders/>
            <w:shd w:fill="CCEEFF" w:val="clear"/>
            <w:tcMar>
              <w:bottom w:w="0" w:type="dxa"/>
            </w:tcMar>
            <w:vAlign w:val="center"/>
          </w:tcPr>
          <w:p>
            <w:pPr>
              <w:pStyle w:val="TableContents"/>
              <w:bidi w:val="0"/>
              <w:spacing w:before="0" w:after="0"/>
              <w:jc w:val="right"/>
              <w:rPr/>
            </w:pPr>
            <w:r>
              <w:rPr/>
              <w:t>​</w:t>
            </w:r>
            <w:r>
              <w:rPr>
                <w:sz w:val="13"/>
              </w:rPr>
              <w:t>(2)</w:t>
            </w:r>
            <w:r>
              <w:rPr>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4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Printing and miscellaneous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0"/>
              <w:jc w:val="right"/>
              <w:rPr/>
            </w:pPr>
            <w:r>
              <w:rPr/>
              <w:t>​</w:t>
            </w:r>
          </w:p>
        </w:tc>
        <w:tc>
          <w:tcPr>
            <w:tcW w:w="1291" w:type="dxa"/>
            <w:tcBorders>
              <w:bottom w:val="single" w:sz="2" w:space="0" w:color="000000"/>
            </w:tcBorders>
            <w:tcMar>
              <w:bottom w:w="50" w:type="dxa"/>
            </w:tcMar>
            <w:vAlign w:val="center"/>
          </w:tcPr>
          <w:p>
            <w:pPr>
              <w:pStyle w:val="TableContents"/>
              <w:bidi w:val="0"/>
              <w:spacing w:before="0" w:after="0"/>
              <w:jc w:val="right"/>
              <w:rPr/>
            </w:pPr>
            <w:r>
              <w:rPr/>
              <w:t>​</w:t>
            </w:r>
            <w:r>
              <w:rPr>
                <w:sz w:val="13"/>
              </w:rPr>
              <w:t>(2)</w:t>
            </w:r>
            <w:r>
              <w:rPr>
                <w:sz w:val="15"/>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4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9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r>
              <w:rPr>
                <w:sz w:val="13"/>
              </w:rPr>
              <w:t>(2)</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5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Rules 456(b) and 457(r) under the Securities Act of 1933, as amended (the “Securities Act”), applicable Securities and Exchange Commission (the “SEC”) registration fees have been deferred and will be paid at the time of any particular offering of securities under this registration statement, and are therefore not estimable at this time. </w:t>
      </w:r>
      <w:r>
        <mc:AlternateContent>
          <mc:Choice Requires="wps">
            <w:drawing>
              <wp:anchor behindDoc="0" distT="9525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7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Estimated offering expenses are not presently known and will be reflected in the applicable prospectus supplement. </w:t>
      </w:r>
      <w:r>
        <mc:AlternateContent>
          <mc:Choice Requires="wps">
            <w:drawing>
              <wp:anchor behindDoc="0" distT="4445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15.   Indemnification of Directors and Officers.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145(a) of the Delaware General Corporation Law (the “DGCL”) provides in relevant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Section 145(b) of the DGCL provides in relevant part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amended and restated certificate of incorporation of each of UAL and United generally provides that each of UAL and United will indemnify its respective directors and officers to the fullest extent permitted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II-1</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30" w:before="120" w:after="283"/>
        <w:ind w:left="14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by law; provided that except as set forth in the following paragraph, UAL and United will indemnify any person seeking indemnification in connection with a proceeding (or part thereof) initiated by such person only if such proceeding (or part thereof) was authorized by the board of directors of the relevant company. Furthermore, neither UAL nor United will be obligated to indemnify a director or officer for costs and expenses relating to proceedings (or any part thereof) instituted against UAL or United, respectively, by such director or officer (other than proceedings pursuant to which such director or officer is seeking to enforce such director’s or officer’s indemnification rights under the amended and restated certificate of incorporation of UAL or United, respectively). The right to indemnification includes the right to be paid the expenses incurred in defending any such proceeding in advance of its final disposition; provided, however, that if the DGCL requires the payment of such expense incurred by a director or officer in such capacity in advance of the final disposition of a proceeding, it shall be made only upon delivery of an undertaking, by or on behalf of such director or officer, to repay all amounts so advanced if it shall ultimately be determined that such director or officer is not entitled to be indemnified. </w:t>
      </w:r>
    </w:p>
    <w:p>
      <w:pPr>
        <w:pStyle w:val="TextBody"/>
        <w:bidi w:val="0"/>
        <w:spacing w:lineRule="atLeast" w:line="23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If UAL or United does not pay a claim for indemnification in full within 30 days after a written claim has been received by it, the claimant may at any time thereafter bring suit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UAL or United) that the claimant has not met the standards of conduct that make it permissible under the DGCL for UAL or United to indemnify the claimant for the amount claimed, but the burden of proving such defense shall be on UAL or United, as applicable. Neither the failure by UAL or United (including by the applicable board of directors, independent legal counsel or stockholders) to have made a determination prior to the commencement of such action that indemnification of the claimant is proper in the circumstances because he or she has met the applicable standard of conduct set forth in the DGCL, nor an actual determination by UAL or United (including by the applicable board of directors, independent legal counsel, or stockholders) that the claimant has not met such applicable standard of conduct, shall be a defense to the action or create a presumption that the claimant has not met the applicable standard of conduct.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amended and restated certificate of incorporation of each of UAL and United also provides for the limitation of liability of directors set forth in Section 102(b)(7) of the DGCL, which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amended and restated certificate of incorporation of each of UAL and United allows each of UAL and United, respectively, to maintain insurance, at its expense, to protect itself and any director, officer, employee or agent of the respective corporation or another corporation, partnership, joint venture, trust or other enterprise against any expense, liability or loss, whether or not the corporation would have the power to indemnify such person against such expense, liability or loss under the DGCL. Section 145(g) of the DGCL provides that 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 of the DGCL. UAL maintains a policy that provides liability insurance for directors and officers of UAL and its subsidiaries, including United.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right to indemnification set forth in the amended and restated certificate of incorporation of each of UAL and United is not exclusive of any other right that any person may have or acquire under any statute, any provision of the amended and restated certificate of incorporation or amended and restated bylaws of each of UAL or United, any agreement, any vote of stockholders or disinterested directors or otherwise.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II-2</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50" w:before="12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Insofar as indemnification for liabilities arising under the Securities Act may be permitted to directors, officers or persons controlling the registrants pursuant to the foregoing provisions, the registrants have been informed that in the opinion of the SEC such indemnification is against public policy as expressed in the Securities Act and is therefore unenforceable.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16.   Exhibits.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Set forth below is a list of exhibits that are being filed or incorporated by reference into this prospectus: </w:t>
      </w:r>
    </w:p>
    <w:tbl>
      <w:tblPr>
        <w:tblW w:w="8732" w:type="dxa"/>
        <w:jc w:val="left"/>
        <w:tblInd w:w="1433" w:type="dxa"/>
        <w:tblLayout w:type="fixed"/>
        <w:tblCellMar>
          <w:top w:w="0" w:type="dxa"/>
          <w:left w:w="0" w:type="dxa"/>
          <w:bottom w:w="28" w:type="dxa"/>
          <w:right w:w="0" w:type="dxa"/>
        </w:tblCellMar>
      </w:tblPr>
      <w:tblGrid>
        <w:gridCol w:w="124"/>
        <w:gridCol w:w="1199"/>
        <w:gridCol w:w="109"/>
        <w:gridCol w:w="109"/>
        <w:gridCol w:w="1085"/>
        <w:gridCol w:w="109"/>
        <w:gridCol w:w="109"/>
        <w:gridCol w:w="5732"/>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19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8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Registrant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3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spacing w:val="4"/>
              </w:rPr>
            </w:pPr>
            <w:r>
              <w:rPr>
                <w:spacing w:val="4"/>
              </w:rPr>
              <w:t xml:space="preserve">Form of Equity Securities Underwriting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spacing w:val="4"/>
              </w:rPr>
            </w:pPr>
            <w:r>
              <w:rPr>
                <w:spacing w:val="4"/>
              </w:rPr>
              <w:t xml:space="preserve">Form of United Airlines Holdings, Inc. Debt Securities Underwriting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spacing w:val="4"/>
              </w:rPr>
            </w:pPr>
            <w:r>
              <w:rPr>
                <w:spacing w:val="4"/>
              </w:rPr>
              <w:t xml:space="preserve">Form of United Airlines, Inc. Debt Securities Underwriting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spacing w:val="4"/>
              </w:rPr>
            </w:pPr>
            <w:r>
              <w:rPr>
                <w:spacing w:val="4"/>
              </w:rPr>
              <w:t xml:space="preserve">Form of Warrant Underwriting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spacing w:val="4"/>
              </w:rPr>
            </w:pPr>
            <w:r>
              <w:rPr>
                <w:spacing w:val="4"/>
              </w:rPr>
              <w:t xml:space="preserve">Form of Stock Purchase Contracts Underwriting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spacing w:val="4"/>
              </w:rPr>
            </w:pPr>
            <w:r>
              <w:rPr>
                <w:spacing w:val="4"/>
              </w:rPr>
              <w:t xml:space="preserve">Form of Stock Purchase Units Underwriting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spacing w:val="4"/>
              </w:rPr>
            </w:pPr>
            <w:r>
              <w:rPr>
                <w:spacing w:val="4"/>
              </w:rPr>
              <w:t xml:space="preserve">Form of Pass Through Certificates Underwriting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0"/>
              <w:jc w:val="left"/>
              <w:rPr/>
            </w:pPr>
            <w:hyperlink r:id="rId24">
              <w:r>
                <w:rPr>
                  <w:rStyle w:val="InternetLink"/>
                  <w:spacing w:val="4"/>
                </w:rPr>
                <w:t>Amended and Restated Certificate of Incorporation of United Airlines Holdings, Inc. (filed as Exhibit 3.1 to UAL’s Form 8-K filed June 27, 2019 and incorporated herein by reference)</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0"/>
              <w:jc w:val="left"/>
              <w:rPr/>
            </w:pPr>
            <w:hyperlink r:id="rId25">
              <w:r>
                <w:rPr>
                  <w:rStyle w:val="InternetLink"/>
                  <w:spacing w:val="4"/>
                </w:rPr>
                <w:t>Amended and Restated Bylaws of United Airlines Holdings, Inc. (filed as Exhibit 3.1 to UAL’s Form 8-K filed December 18, 2024 and incorporated herein by reference)</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pPr>
            <w:hyperlink r:id="rId26">
              <w:r>
                <w:rPr>
                  <w:rStyle w:val="InternetLink"/>
                </w:rPr>
                <w:t>Certificate of Designation of the Series A Junior Participating Serial Preferred Stock of United Airlines Holdings, Inc. (filed as Exhibit 3.1 to UAL’s Registration Statement on Form 8-A filed December 7, 2020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0"/>
              <w:jc w:val="left"/>
              <w:rPr/>
            </w:pPr>
            <w:hyperlink r:id="rId27">
              <w:r>
                <w:rPr>
                  <w:rStyle w:val="InternetLink"/>
                  <w:spacing w:val="4"/>
                </w:rPr>
                <w:t>Amended and Restated Certificate of Incorporation of United Airlines, Inc. (filed as Exhibit 3.1 to UAL’s Form 8-K filed April 3, 2013 and incorporated herein by reference)</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0"/>
              <w:jc w:val="left"/>
              <w:rPr/>
            </w:pPr>
            <w:hyperlink r:id="rId28">
              <w:r>
                <w:rPr>
                  <w:rStyle w:val="InternetLink"/>
                  <w:spacing w:val="4"/>
                </w:rPr>
                <w:t>Amended and Restated By-laws of United Airlines, Inc. (filed as Exhibit 3.2 to UAL’s Form 8-K filed April 3, 2013 and incorporated herein by reference)</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0"/>
              <w:jc w:val="left"/>
              <w:rPr>
                <w:spacing w:val="4"/>
              </w:rPr>
            </w:pPr>
            <w:r>
              <w:rPr>
                <w:spacing w:val="4"/>
              </w:rPr>
              <w:t xml:space="preserve">UAL 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pPr>
            <w:hyperlink r:id="rId29">
              <w:r>
                <w:rPr>
                  <w:rStyle w:val="InternetLink"/>
                </w:rPr>
                <w:t>Indenture, dated as of May 7, 2013, among United Continental Holdings, Inc., (now known as United Airlines Holdings, Inc.) United Airlines, Inc. and The Bank of New York Mellon Trust Company, N.A., as trustee thereunder (filed as Exhibit 4.1 to UAL’s Form 8-K filed May 10, 2013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pPr>
            <w:hyperlink r:id="rId30">
              <w:r>
                <w:rPr>
                  <w:rStyle w:val="InternetLink"/>
                </w:rPr>
                <w:t>Tax Benefits Preservation Plan, dated as of December 4, 2020, by and between United Airlines Holdings, Inc. and Computershare Trust Company, N.A., as rights agent (which includes the Form of Rights Certificate as Exhibit B thereto) (filed as Exhibit 4.1 to UAL’s Registration Statement on Form 8-A filed December 7, 2020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pPr>
            <w:hyperlink r:id="rId31">
              <w:r>
                <w:rPr>
                  <w:rStyle w:val="InternetLink"/>
                </w:rPr>
                <w:t>Amendment No. 1 to Tax Benefits Preservation Plan, dated as of January 21, 2021, by and between United Airlines Holdings, Inc. and Computershare Trust Company, N.A., as rights agent (filed as Exhibit 4.18 to UAL’s Form 10-K for the year ended December 31, 2020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199" w:type="dxa"/>
            <w:tcBorders/>
            <w:tcMar>
              <w:bottom w:w="0" w:type="dxa"/>
            </w:tcMar>
            <w:vAlign w:val="center"/>
          </w:tcPr>
          <w:p>
            <w:pPr>
              <w:pStyle w:val="TableContents"/>
              <w:bidi w:val="0"/>
              <w:spacing w:before="0" w:after="283"/>
              <w:ind w:left="200" w:right="0" w:hanging="0"/>
              <w:jc w:val="left"/>
              <w:rPr>
                <w:spacing w:val="4"/>
              </w:rPr>
            </w:pPr>
            <w:r>
              <w:rPr>
                <w:spacing w:val="4"/>
              </w:rPr>
              <w:t xml:space="preserve">4.9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85"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2" w:type="dxa"/>
            <w:tcBorders/>
            <w:tcMar>
              <w:bottom w:w="0" w:type="dxa"/>
            </w:tcMar>
            <w:vAlign w:val="center"/>
          </w:tcPr>
          <w:p>
            <w:pPr>
              <w:pStyle w:val="TableContents"/>
              <w:bidi w:val="0"/>
              <w:spacing w:before="0" w:after="283"/>
              <w:jc w:val="left"/>
              <w:rPr/>
            </w:pPr>
            <w:hyperlink r:id="rId32">
              <w:r>
                <w:rPr>
                  <w:rStyle w:val="InternetLink"/>
                </w:rPr>
                <w:t>Amendment No. 2 to Tax Benefits Preservation Plan, dated as of December 4, 2023, by and between United Airlines Holdings, Inc. and Computershare Trust Company, N.A., as rights agent (filed as Exhibit 4.3 to UAL’s Form 8-A/A filed December 4, 2023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II-3</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8732" w:type="dxa"/>
        <w:jc w:val="left"/>
        <w:tblInd w:w="1433" w:type="dxa"/>
        <w:tblLayout w:type="fixed"/>
        <w:tblCellMar>
          <w:top w:w="0" w:type="dxa"/>
          <w:left w:w="0" w:type="dxa"/>
          <w:bottom w:w="28" w:type="dxa"/>
          <w:right w:w="0" w:type="dxa"/>
        </w:tblCellMar>
      </w:tblPr>
      <w:tblGrid>
        <w:gridCol w:w="124"/>
        <w:gridCol w:w="1201"/>
        <w:gridCol w:w="109"/>
        <w:gridCol w:w="109"/>
        <w:gridCol w:w="1098"/>
        <w:gridCol w:w="109"/>
        <w:gridCol w:w="109"/>
        <w:gridCol w:w="5717"/>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20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Registrant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Exhibit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pPr>
            <w:hyperlink r:id="rId33">
              <w:r>
                <w:rPr>
                  <w:rStyle w:val="InternetLink"/>
                </w:rPr>
                <w:t>Amendment No. 3 to Tax Benefits Preservation Plan, dated as of April 22, 2024, by and between United Airlines Holdings, Inc. and Computershare Trust Company, N.A., as rights agent (filed as Exhibit 4.4 to UAL’s Form 8-A/A filed April 23, 2024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Debt Security to be issued by United Airlines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Debt Security to be issued by United Airlines, Inc.*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Guarantee of Debt Security to be issued by United Airlines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Guarantee of Debt Security to be issued by United Airlines, Inc.*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pPr>
            <w:hyperlink r:id="rId34">
              <w:r>
                <w:rPr>
                  <w:rStyle w:val="InternetLink"/>
                </w:rPr>
                <w:t>Specimen Certificate of United Airlines Holdings, Inc. Common Stock (filed as Exhibit 4.13 to UAL’s Registration Statement on Form S-3 (File No. 333-275664) filed November 20, 2023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Certificate of Designation of Preferred Stock to be issued by United Airlines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Specimen Certificate of United Airlines Holdings, Inc. Preferred Stock*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Warrant Agreement of United Airlines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Warrant to be issued by United Airlines Holdings, Inc.*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Deposit Agreement*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Depositary Receipt*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Stock Purchase Contract Agreement (including form of Stock Purchase Contract, if any)*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Stock Purchase Unit Agreement (including form of Stock Purchase Unit, if any)*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spacing w:val="4"/>
              </w:rPr>
            </w:pPr>
            <w:r>
              <w:rPr>
                <w:spacing w:val="4"/>
              </w:rPr>
              <w:t xml:space="preserve">Form of Subscription Rights Certificate*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4.25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pPr>
            <w:hyperlink r:id="rId35">
              <w:r>
                <w:rPr>
                  <w:rStyle w:val="InternetLink"/>
                </w:rPr>
                <w:t>Pass Through Trust Agreement, dated as of October 3, 2012, between United and Wilmington Trust, National Association, as trustee thereunder (filed as Exhibit 4.1 to United’s Form 8-K filed on October 9, 2012 and incorporated herein by reference)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0"/>
              <w:jc w:val="both"/>
              <w:rPr>
                <w:spacing w:val="4"/>
              </w:rPr>
            </w:pPr>
            <w:r>
              <w:rPr>
                <w:spacing w:val="4"/>
              </w:rPr>
              <w:t xml:space="preserve">UAL 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0"/>
              <w:jc w:val="left"/>
              <w:rPr/>
            </w:pPr>
            <w:hyperlink w:anchor="tm2627635d2_ex5-1.htm">
              <w:r>
                <w:rPr>
                  <w:rStyle w:val="InternetLink"/>
                  <w:spacing w:val="4"/>
                </w:rPr>
                <w:t>Opinion of Sidley Austin LLP, as to the validity of the securities**</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0"/>
              <w:jc w:val="left"/>
              <w:rPr/>
            </w:pPr>
            <w:hyperlink w:anchor="tm2627635d2_ex23-1.htm">
              <w:r>
                <w:rPr>
                  <w:rStyle w:val="InternetLink"/>
                  <w:spacing w:val="4"/>
                </w:rPr>
                <w:t>Consent of Ernst &amp; Young LLP**</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0"/>
              <w:jc w:val="left"/>
              <w:rPr/>
            </w:pPr>
            <w:hyperlink w:anchor="tm2627635d2_ex23-2.htm">
              <w:r>
                <w:rPr>
                  <w:rStyle w:val="InternetLink"/>
                  <w:spacing w:val="4"/>
                </w:rPr>
                <w:t>Consent of Ernst &amp; Young LLP**</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0"/>
              <w:jc w:val="both"/>
              <w:rPr>
                <w:spacing w:val="4"/>
              </w:rPr>
            </w:pPr>
            <w:r>
              <w:rPr>
                <w:spacing w:val="4"/>
              </w:rPr>
              <w:t xml:space="preserve">UAL 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0"/>
              <w:jc w:val="left"/>
              <w:rPr/>
            </w:pPr>
            <w:hyperlink w:anchor="tm2627635d2_ex5-1.htm">
              <w:r>
                <w:rPr>
                  <w:rStyle w:val="InternetLink"/>
                  <w:spacing w:val="4"/>
                </w:rPr>
                <w:t>Consent of Sidley Austin LLP (included in Exhibit 5.1)</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0"/>
              <w:jc w:val="both"/>
              <w:rPr>
                <w:spacing w:val="4"/>
              </w:rPr>
            </w:pPr>
            <w:r>
              <w:rPr>
                <w:spacing w:val="4"/>
              </w:rPr>
              <w:t xml:space="preserve">UAL 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0"/>
              <w:jc w:val="left"/>
              <w:rPr/>
            </w:pPr>
            <w:hyperlink w:anchor="sPOA">
              <w:r>
                <w:rPr>
                  <w:rStyle w:val="InternetLink"/>
                  <w:spacing w:val="4"/>
                </w:rPr>
                <w:t>Powers of Attorney (included on signature pages to this registration statement)**</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0"/>
              <w:jc w:val="both"/>
              <w:rPr>
                <w:spacing w:val="4"/>
              </w:rPr>
            </w:pPr>
            <w:r>
              <w:rPr>
                <w:spacing w:val="4"/>
              </w:rPr>
              <w:t xml:space="preserve">UAL 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283"/>
              <w:jc w:val="left"/>
              <w:rPr/>
            </w:pPr>
            <w:hyperlink w:anchor="tm2627635d2_ex25-1.htm">
              <w:r>
                <w:rPr>
                  <w:rStyle w:val="InternetLink"/>
                </w:rPr>
                <w:t>Statement of Eligibility of Trustee of The Bank of New York Mellon Trust Company, N.A. for the Indenture dated as of May 7, 2013, among United Airlines Holdings, Inc., United Airlines, Inc. and The Bank of New York Mellon Trust Company, N.A., as trustee**</w:t>
              </w:r>
            </w:hyperlink>
            <w:r>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ind w:left="100" w:right="0" w:hanging="0"/>
              <w:jc w:val="left"/>
              <w:rPr>
                <w:spacing w:val="4"/>
              </w:rPr>
            </w:pPr>
            <w:r>
              <w:rPr>
                <w:spacing w:val="4"/>
              </w:rPr>
              <w:t xml:space="preserve">25.2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283"/>
              <w:jc w:val="left"/>
              <w:rPr>
                <w:spacing w:val="4"/>
              </w:rPr>
            </w:pPr>
            <w:r>
              <w:rPr>
                <w:spacing w:val="4"/>
              </w:rPr>
              <w:t xml:space="preserve">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0"/>
              <w:jc w:val="left"/>
              <w:rPr/>
            </w:pPr>
            <w:hyperlink w:anchor="tm2627635d2_ex25-2.htm">
              <w:r>
                <w:rPr>
                  <w:rStyle w:val="InternetLink"/>
                  <w:spacing w:val="4"/>
                </w:rPr>
                <w:t>Statement of Eligibility of Wilmington Trust, National Association for the Pass Through Trust Agreement, dated as of October 3, 2012**</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201" w:type="dxa"/>
            <w:tcBorders/>
            <w:tcMar>
              <w:bottom w:w="0" w:type="dxa"/>
            </w:tcMar>
            <w:vAlign w:val="center"/>
          </w:tcPr>
          <w:p>
            <w:pPr>
              <w:pStyle w:val="TableContents"/>
              <w:bidi w:val="0"/>
              <w:spacing w:before="0" w:after="283"/>
              <w:jc w:val="left"/>
              <w:rPr>
                <w:spacing w:val="4"/>
              </w:rPr>
            </w:pPr>
            <w:r>
              <w:rPr>
                <w:spacing w:val="4"/>
              </w:rPr>
              <w:t xml:space="preserve">107.1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8" w:type="dxa"/>
            <w:tcBorders/>
            <w:tcMar>
              <w:bottom w:w="0" w:type="dxa"/>
            </w:tcMar>
            <w:vAlign w:val="center"/>
          </w:tcPr>
          <w:p>
            <w:pPr>
              <w:pStyle w:val="TableContents"/>
              <w:bidi w:val="0"/>
              <w:spacing w:before="0" w:after="0"/>
              <w:jc w:val="both"/>
              <w:rPr>
                <w:spacing w:val="4"/>
              </w:rPr>
            </w:pPr>
            <w:r>
              <w:rPr>
                <w:spacing w:val="4"/>
              </w:rPr>
              <w:t xml:space="preserve">UAL United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17" w:type="dxa"/>
            <w:tcBorders/>
            <w:tcMar>
              <w:bottom w:w="0" w:type="dxa"/>
            </w:tcMar>
            <w:vAlign w:val="center"/>
          </w:tcPr>
          <w:p>
            <w:pPr>
              <w:pStyle w:val="TableContents"/>
              <w:bidi w:val="0"/>
              <w:spacing w:before="0" w:after="0"/>
              <w:jc w:val="left"/>
              <w:rPr/>
            </w:pPr>
            <w:hyperlink w:anchor="tm2627635d1_ex-filingfees.htm">
              <w:r>
                <w:rPr>
                  <w:rStyle w:val="InternetLink"/>
                  <w:spacing w:val="4"/>
                </w:rPr>
                <w:t>Filing Fee Table**</w:t>
              </w:r>
            </w:hyperlink>
            <w:r>
              <w:rPr>
                <w:spacing w:val="4"/>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4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16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To be filed, if necessary, as an exhibit to a post-effective amendment to this registration statement or as an exhibit to a Current Report on Form 8-K to be filed by the registrant in connection with a specific offering, and incorporated herein by reference. </w:t>
      </w:r>
      <w:r>
        <mc:AlternateContent>
          <mc:Choice Requires="wps">
            <w:drawing>
              <wp:anchor behindDoc="0" distT="1016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80" w:after="0"/>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Filed herewith. </w:t>
      </w:r>
      <w:r>
        <mc:AlternateContent>
          <mc:Choice Requires="wps">
            <w:drawing>
              <wp:anchor behindDoc="0" distT="50800" distB="0" distL="0" distR="0" simplePos="0" locked="0" layoutInCell="1" allowOverlap="1" relativeHeight="164">
                <wp:simplePos x="0" y="0"/>
                <wp:positionH relativeFrom="column">
                  <wp:align>left</wp:align>
                </wp:positionH>
                <wp:positionV relativeFrom="line">
                  <wp:align>top</wp:align>
                </wp:positionV>
                <wp:extent cx="254000" cy="350520"/>
                <wp:effectExtent l="0" t="0" r="0" b="0"/>
                <wp:wrapSquare wrapText="right"/>
                <wp:docPr id="149"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II-4</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Item 17.   Undertakings.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8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(a)   Each undersigned registrant hereby undertakes: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(1)   To file, during any period in which offers or sales are being made, a post-effective amendment to this registration statement: </w:t>
      </w:r>
    </w:p>
    <w:p>
      <w:pPr>
        <w:pStyle w:val="TextBody"/>
        <w:bidi w:val="0"/>
        <w:spacing w:lineRule="atLeast" w:line="240" w:before="160" w:after="283"/>
        <w:ind w:left="26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To include any prospectus required by Section 10(a)(3) of the Securities Act;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under the Securities Act if, in the aggregate, the changes in volume and price represent no more than a 20% change in the maximum aggregate offering price set forth in the “Calculation of Registration Fee” table in the effective registration statement; and (iii) To include any material information with respect to the plan of distribution not previously disclosed in the registration statement or any material change to such information in the registration statement; provided, however, that clauses (a)(1)(i), (a)(1)(ii) and (a)(1)(iii) above do not apply if the information required to be included in a post-effective amendment by those clauses is contained in reports filed with or furnished to the SEC by such registrant pursuant to Section 13 or Section 15(d) of the Exchange Act, that are incorporated by reference in the registration statement, or is contained in a form of prospectus filed pursuant to Rule 424(b) under the Securities Act that is part of the registration statement;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offering thereof; </w:t>
      </w:r>
    </w:p>
    <w:p>
      <w:pPr>
        <w:pStyle w:val="TextBody"/>
        <w:bidi w:val="0"/>
        <w:spacing w:lineRule="atLeast" w:line="240" w:before="160" w:after="283"/>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433" w:right="40" w:firstLine="8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(4)   That, for the purpose of determining liability under the Securities Act to any purchaser: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Each prospectus filed by such registrant pursuant to Rule 424(b)(3) under the Securities Act shall be deemed to be part of the registration statement as of the date the filed prospectus was deemed part of and included in the registration statement; and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Each prospectus required to be filed pursuant to Rule 424(b)(2), (b)(5), or (b)(7) under the Securities Act as part of a registration statement in reliance on Rule 430B under the Securities Act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under the Securities Act,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II-5</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2">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440"/>
        <w:ind w:left="18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(5)   That, for the purpose of determining liability of the registrants under the Securities Act to any purchaser in the initial distribution of the securities, each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   Any preliminary prospectus or prospectus of such undersigned registrant relating to the offering required to be filed pursuant to Rule 424 under the Securities Act;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   Any free writing prospectus relating to the offering prepared by or on behalf of such undersigned registrant or used or referred to by such undersigned registrant; </w:t>
      </w:r>
    </w:p>
    <w:p>
      <w:pPr>
        <w:pStyle w:val="TextBody"/>
        <w:bidi w:val="0"/>
        <w:spacing w:lineRule="atLeast" w:line="240" w:before="160" w:after="283"/>
        <w:ind w:left="22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(iii)   The portion of any other free writing prospectus relating to the offering containing material information about such undersigned registrant or its securities provided by or on behalf of the undersigned registrant; and (iv) Any other communication that is an offer in the offering made by such undersigned registrant to the purchaser.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(b)   Each undersigned registrant hereby undertakes that, for purposes of determining any liability under the Securities Act, each filing of such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shd w:fill="FFFFFF" w:val="clear"/>
        </w:rPr>
        <w:t>bona fide</w:t>
      </w:r>
      <w:r>
        <w:rPr>
          <w:rFonts w:ascii="Times New Roman;Times;serif" w:hAnsi="Times New Roman;Times;serif"/>
          <w:b w:val="false"/>
          <w:i w:val="false"/>
          <w:caps w:val="false"/>
          <w:smallCaps w:val="false"/>
          <w:color w:val="000000"/>
          <w:spacing w:val="4"/>
          <w:sz w:val="20"/>
          <w:shd w:fill="FFFFFF" w:val="clear"/>
        </w:rPr>
        <w:t xml:space="preserve"> offering thereof.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(c)   Insofar as indemnification for liabilities arising under the Securities Act may be permitted to directors, officers and controlling persons of a registrant pursuant to the foregoing provisions, or otherwise, each registrant has been advised that in the opinion of the SEC,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such registrant in the successful defense of any action, suit or proceeding) is asserted by such director, officer or controlling person in connection with the securities being registered, the applicable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shd w:fill="FFFFFF" w:val="clear"/>
        </w:rPr>
        <w:t xml:space="preserve"> </w:t>
      </w:r>
    </w:p>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II-6</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bookmarkStart w:id="30" w:name="sPOA"/>
      <w:bookmarkEnd w:id="30"/>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283"/>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“Securities Act”), the registrant certifies that it has reasonable grounds to believe that it meets all of the requirements for filing on Form S-3 and has duly caused this registration statement to be signed on its behalf by the undersigned, thereunto duly authorized, on this 21st day of October,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UNITED AIRLINES HOLDINGS,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/s/ Michael Leskinen</w:t>
      </w:r>
      <w:r>
        <w:rPr>
          <w:rFonts w:ascii="Times New Roman;Times;serif" w:hAnsi="Times New Roman;Times;serif"/>
          <w:b w:val="false"/>
          <w:i w:val="false"/>
          <w:caps w:val="false"/>
          <w:smallCaps w:val="false"/>
          <w:color w:val="000000"/>
          <w:sz w:val="20"/>
          <w:shd w:fill="FFFFFF" w:val="clear"/>
        </w:rPr>
        <w:t xml:space="preserve"> </w:t>
      </w:r>
      <w:r>
        <mc:AlternateContent>
          <mc:Choice Requires="wps">
            <w:drawing>
              <wp:anchor behindDoc="0" distT="101600" distB="0" distL="2794000" distR="0" simplePos="0" locked="0" layoutInCell="1" allowOverlap="1" relativeHeight="165">
                <wp:simplePos x="0" y="0"/>
                <wp:positionH relativeFrom="column">
                  <wp:align>left</wp:align>
                </wp:positionH>
                <wp:positionV relativeFrom="line">
                  <wp:align>top</wp:align>
                </wp:positionV>
                <wp:extent cx="254000" cy="525780"/>
                <wp:effectExtent l="0" t="0" r="0" b="0"/>
                <wp:wrapSquare wrapText="right"/>
                <wp:docPr id="150" name="Frame15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Michael Leskinen </w:t>
      </w:r>
      <w:r>
        <mc:AlternateContent>
          <mc:Choice Requires="wps">
            <w:drawing>
              <wp:anchor behindDoc="0" distT="25400" distB="0" distL="3048000" distR="0" simplePos="0" locked="0" layoutInCell="1" allowOverlap="1" relativeHeight="166">
                <wp:simplePos x="0" y="0"/>
                <wp:positionH relativeFrom="column">
                  <wp:align>left</wp:align>
                </wp:positionH>
                <wp:positionV relativeFrom="line">
                  <wp:align>top</wp:align>
                </wp:positionV>
                <wp:extent cx="406400" cy="525780"/>
                <wp:effectExtent l="0" t="0" r="0" b="0"/>
                <wp:wrapSquare wrapText="right"/>
                <wp:docPr id="151" name="Frame151"/>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162.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0" w:after="0"/>
        <w:ind w:left="687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Executive Vice President and Chief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Financial Officer </w:t>
      </w:r>
      <w:r>
        <mc:AlternateContent>
          <mc:Choice Requires="wps">
            <w:drawing>
              <wp:anchor behindDoc="0" distT="0" distB="0" distL="3048000" distR="0" simplePos="0" locked="0" layoutInCell="1" allowOverlap="1" relativeHeight="167">
                <wp:simplePos x="0" y="0"/>
                <wp:positionH relativeFrom="column">
                  <wp:align>left</wp:align>
                </wp:positionH>
                <wp:positionV relativeFrom="line">
                  <wp:posOffset>635</wp:posOffset>
                </wp:positionV>
                <wp:extent cx="406400" cy="350520"/>
                <wp:effectExtent l="0" t="0" r="0" b="0"/>
                <wp:wrapSquare wrapText="right"/>
                <wp:docPr id="152" name="Frame152"/>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undersigned officers and/or directors of United Airlines Holdings, Inc. do hereby constitute and appoint Brett J. Hart, Michael Leskinen and Robert S. Rivkin, or any of them, as the undersigned’s true and lawful attorneys-in-fact and agents to do any and all acts and things in the undersigned’s name and behalf in the undersigned’s capacities as officer and/or director, and to execute any and all instruments for the undersigned and in the undersigned’s name in the capacities as officer and/or director which such person or persons may deem necessary or advisable to enable the registrant to comply with the Securities Act, and any rules, regulations and requirements of the SEC in connection with this registration statement. Such appointment to act specifically includes, but is not limited to, the power and authority to sign for the undersigned in the capacity as a director and/or officer of the registrant any and all amendments (including post-effective amendments) to this registration statement, and to file the same, with all supplements and exhibits thereto, and all other documents in connection therewith, with the SEC, granting unto said attorneys-in-fact and agents and each of them, full power and authority to do and perform in the name of and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attorney-in-fact and agents or their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this registration statement has been signed below by the following persons in the capacities and on the date indicated. </w:t>
      </w:r>
    </w:p>
    <w:tbl>
      <w:tblPr>
        <w:tblW w:w="8732" w:type="dxa"/>
        <w:jc w:val="left"/>
        <w:tblInd w:w="1433" w:type="dxa"/>
        <w:tblLayout w:type="fixed"/>
        <w:tblCellMar>
          <w:top w:w="0" w:type="dxa"/>
          <w:left w:w="0" w:type="dxa"/>
          <w:bottom w:w="28" w:type="dxa"/>
          <w:right w:w="0" w:type="dxa"/>
        </w:tblCellMar>
      </w:tblPr>
      <w:tblGrid>
        <w:gridCol w:w="124"/>
        <w:gridCol w:w="1780"/>
        <w:gridCol w:w="109"/>
        <w:gridCol w:w="109"/>
        <w:gridCol w:w="4674"/>
        <w:gridCol w:w="109"/>
        <w:gridCol w:w="109"/>
        <w:gridCol w:w="1563"/>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7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0" w:type="dxa"/>
            <w:tcBorders/>
            <w:tcMar>
              <w:bottom w:w="0" w:type="dxa"/>
            </w:tcMar>
            <w:vAlign w:val="center"/>
          </w:tcPr>
          <w:p>
            <w:pPr>
              <w:pStyle w:val="TableContents"/>
              <w:bidi w:val="0"/>
              <w:spacing w:before="0" w:after="0"/>
              <w:jc w:val="center"/>
              <w:rPr/>
            </w:pPr>
            <w:r>
              <w:rPr>
                <w:spacing w:val="4"/>
              </w:rPr>
              <w:t>/s/ J. Scott Kirby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 Scott Kirby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74"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3"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0" w:type="dxa"/>
            <w:tcBorders/>
            <w:tcMar>
              <w:bottom w:w="0" w:type="dxa"/>
            </w:tcMar>
            <w:vAlign w:val="center"/>
          </w:tcPr>
          <w:p>
            <w:pPr>
              <w:pStyle w:val="TableContents"/>
              <w:bidi w:val="0"/>
              <w:spacing w:before="0" w:after="0"/>
              <w:jc w:val="center"/>
              <w:rPr/>
            </w:pPr>
            <w:r>
              <w:rPr>
                <w:spacing w:val="4"/>
              </w:rPr>
              <w:t>/s/ Michael Leskinen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Leskinen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74" w:type="dxa"/>
            <w:tcBorders/>
            <w:tcMar>
              <w:bottom w:w="0" w:type="dxa"/>
            </w:tcMar>
            <w:vAlign w:val="center"/>
          </w:tcPr>
          <w:p>
            <w:pPr>
              <w:pStyle w:val="TableContents"/>
              <w:bidi w:val="0"/>
              <w:spacing w:before="0" w:after="283"/>
              <w:jc w:val="left"/>
              <w:rPr>
                <w:spacing w:val="4"/>
              </w:rPr>
            </w:pPr>
            <w:r>
              <w:rPr>
                <w:spacing w:val="4"/>
              </w:rPr>
              <w:t xml:space="preserve">Executive Vice President and Chief Financial Officer (Principal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3"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0" w:type="dxa"/>
            <w:tcBorders/>
            <w:tcMar>
              <w:bottom w:w="0" w:type="dxa"/>
            </w:tcMar>
            <w:vAlign w:val="center"/>
          </w:tcPr>
          <w:p>
            <w:pPr>
              <w:pStyle w:val="TableContents"/>
              <w:bidi w:val="0"/>
              <w:spacing w:before="0" w:after="0"/>
              <w:jc w:val="center"/>
              <w:rPr/>
            </w:pPr>
            <w:r>
              <w:rPr>
                <w:spacing w:val="4"/>
              </w:rPr>
              <w:t>/s/ Brigitte Bokemeier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Brigitte Bokemeier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74" w:type="dxa"/>
            <w:tcBorders/>
            <w:tcMar>
              <w:bottom w:w="0" w:type="dxa"/>
            </w:tcMar>
            <w:vAlign w:val="center"/>
          </w:tcPr>
          <w:p>
            <w:pPr>
              <w:pStyle w:val="TableContents"/>
              <w:bidi w:val="0"/>
              <w:spacing w:before="0" w:after="283"/>
              <w:jc w:val="left"/>
              <w:rPr>
                <w:spacing w:val="4"/>
              </w:rPr>
            </w:pPr>
            <w:r>
              <w:rPr>
                <w:spacing w:val="4"/>
              </w:rPr>
              <w:t xml:space="preserve">Vice President and Controller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3"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0" w:type="dxa"/>
            <w:tcBorders/>
            <w:tcMar>
              <w:bottom w:w="0" w:type="dxa"/>
            </w:tcMar>
            <w:vAlign w:val="center"/>
          </w:tcPr>
          <w:p>
            <w:pPr>
              <w:pStyle w:val="TableContents"/>
              <w:bidi w:val="0"/>
              <w:spacing w:before="0" w:after="0"/>
              <w:jc w:val="center"/>
              <w:rPr/>
            </w:pPr>
            <w:r>
              <w:rPr>
                <w:spacing w:val="4"/>
              </w:rPr>
              <w:t>/s/ Rosalind G. Brewer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Rosalind G. Brewer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3"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780" w:type="dxa"/>
            <w:tcBorders/>
            <w:tcMar>
              <w:bottom w:w="0" w:type="dxa"/>
            </w:tcMar>
            <w:vAlign w:val="center"/>
          </w:tcPr>
          <w:p>
            <w:pPr>
              <w:pStyle w:val="TableContents"/>
              <w:bidi w:val="0"/>
              <w:spacing w:before="0" w:after="0"/>
              <w:jc w:val="center"/>
              <w:rPr/>
            </w:pPr>
            <w:r>
              <w:rPr>
                <w:spacing w:val="4"/>
              </w:rPr>
              <w:t>/s/ Michelle Freyre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Michelle Freyre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63"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II-7</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tbl>
      <w:tblPr>
        <w:tblW w:w="6058" w:type="dxa"/>
        <w:jc w:val="left"/>
        <w:tblInd w:w="1433" w:type="dxa"/>
        <w:tblLayout w:type="fixed"/>
        <w:tblCellMar>
          <w:top w:w="0" w:type="dxa"/>
          <w:left w:w="0" w:type="dxa"/>
          <w:bottom w:w="28" w:type="dxa"/>
          <w:right w:w="0" w:type="dxa"/>
        </w:tblCellMar>
      </w:tblPr>
      <w:tblGrid>
        <w:gridCol w:w="124"/>
        <w:gridCol w:w="2495"/>
        <w:gridCol w:w="109"/>
        <w:gridCol w:w="109"/>
        <w:gridCol w:w="974"/>
        <w:gridCol w:w="109"/>
        <w:gridCol w:w="109"/>
        <w:gridCol w:w="1875"/>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49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7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Matthew Friend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Matthew Friend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Barney Harford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Barney Harford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Michele J. Hooper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Michele J. Hooper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Walter Isaacson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Walter Isaacson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Richard Johnsen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Richard Johnsen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Brian Noyes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Brian Noyes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Edward M. Philip</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Edward M. Philip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Edward L. Shapiro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Edward L. Shapiro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Laysha Ward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Laysha 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spacing w:val="4"/>
              </w:rPr>
            </w:pPr>
            <w:r>
              <w:rPr>
                <w:spacing w:val="4"/>
              </w:rPr>
              <w:t xml:space="preserve">October 21,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95" w:type="dxa"/>
            <w:tcBorders/>
            <w:tcMar>
              <w:bottom w:w="0" w:type="dxa"/>
            </w:tcMar>
            <w:vAlign w:val="center"/>
          </w:tcPr>
          <w:p>
            <w:pPr>
              <w:pStyle w:val="TableContents"/>
              <w:bidi w:val="0"/>
              <w:spacing w:before="0" w:after="0"/>
              <w:jc w:val="center"/>
              <w:rPr/>
            </w:pPr>
            <w:r>
              <w:rPr>
                <w:spacing w:val="4"/>
              </w:rPr>
              <w:t>/s/ James M. Whitehurst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James M. Whitehurst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75" w:type="dxa"/>
            <w:tcBorders/>
            <w:tcMar>
              <w:bottom w:w="0" w:type="dxa"/>
            </w:tcMar>
            <w:vAlign w:val="center"/>
          </w:tcPr>
          <w:p>
            <w:pPr>
              <w:pStyle w:val="TableContents"/>
              <w:bidi w:val="0"/>
              <w:spacing w:before="0" w:after="0"/>
              <w:jc w:val="both"/>
              <w:rPr/>
            </w:pPr>
            <w:r>
              <w:rPr>
                <w:spacing w:val="4"/>
              </w:rPr>
              <w:t>October 21,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II-8</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spacing w:lineRule="atLeast" w:line="180" w:before="0" w:after="0"/>
        <w:ind w:left="0" w:right="0" w:hanging="0"/>
        <w:jc w:val="left"/>
        <w:rPr/>
      </w:pPr>
      <w:hyperlink w:anchor="TOC">
        <w:r>
          <w:rPr>
            <w:rStyle w:val="InternetLink"/>
            <w:rFonts w:ascii="calibri;arial;sans-serif" w:hAnsi="calibri;arial;sans-serif"/>
            <w:b w:val="false"/>
            <w:i w:val="false"/>
            <w:caps w:val="false"/>
            <w:smallCaps w:val="false"/>
            <w:color w:val="003366"/>
            <w:sz w:val="18"/>
            <w:shd w:fill="E5E4E2" w:val="clear"/>
          </w:rPr>
          <w:t>Table of Contents</w:t>
        </w:r>
      </w:hyperlink>
      <w:r>
        <w:rPr>
          <w:rFonts w:ascii="calibri;arial;sans-serif" w:hAnsi="calibri;arial;sans-serif"/>
          <w:b w:val="false"/>
          <w:i w:val="false"/>
          <w:caps w:val="false"/>
          <w:smallCaps w:val="false"/>
          <w:sz w:val="18"/>
          <w:shd w:fill="E5E4E2" w:val="clear"/>
        </w:rPr>
        <w:t xml:space="preserve"> </w:t>
      </w:r>
    </w:p>
    <w:p>
      <w:pPr>
        <w:pStyle w:val="TextBody"/>
        <w:bidi w:val="0"/>
        <w:spacing w:lineRule="atLeast" w:line="240" w:before="340" w:after="283"/>
        <w:ind w:left="1433" w:right="40" w:hanging="0"/>
        <w:jc w:val="left"/>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20" w:after="410"/>
        <w:ind w:left="1433" w:right="40" w:hanging="0"/>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SIGNATURES</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of 1933, as amended (the “Securities Act”), the registrant certifies that it has reasonable grounds to believe that it meets all of the requirements for filing on Form S-3 and has duly caused this registration statement to be signed on its behalf by the undersigned, thereunto duly authorized, on this 21st day of October, 2026. </w:t>
      </w:r>
    </w:p>
    <w:p>
      <w:pPr>
        <w:pStyle w:val="TextBody"/>
        <w:bidi w:val="0"/>
        <w:spacing w:lineRule="atLeast" w:line="240" w:before="240" w:after="283"/>
        <w:ind w:left="5833" w:right="40" w:hanging="0"/>
        <w:jc w:val="left"/>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UNITED AIRLINES, INC.</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0"/>
        <w:ind w:left="623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/s/ Michael Leskinen </w:t>
      </w:r>
      <w:r>
        <mc:AlternateContent>
          <mc:Choice Requires="wps">
            <w:drawing>
              <wp:anchor behindDoc="0" distT="101600" distB="0" distL="2794000" distR="0" simplePos="0" locked="0" layoutInCell="1" allowOverlap="1" relativeHeight="168">
                <wp:simplePos x="0" y="0"/>
                <wp:positionH relativeFrom="column">
                  <wp:align>left</wp:align>
                </wp:positionH>
                <wp:positionV relativeFrom="line">
                  <wp:align>top</wp:align>
                </wp:positionV>
                <wp:extent cx="254000" cy="525780"/>
                <wp:effectExtent l="0" t="0" r="0" b="0"/>
                <wp:wrapSquare wrapText="right"/>
                <wp:docPr id="153" name="Frame15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8pt;mso-wrap-distance-bottom:0pt;margin-top:8pt;mso-position-vertical:top;mso-position-vertical-relative:text;margin-left:206.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before="0" w:after="283"/>
        <w:ind w:left="6233" w:right="40" w:hanging="0"/>
        <w:jc w:val="left"/>
        <w:rPr>
          <w:caps w:val="false"/>
          <w:smallCaps w:val="false"/>
          <w:color w:val="000000"/>
          <w:bdr w:val="single" w:sz="8" w:space="1" w:color="000000"/>
          <w:shd w:fill="FFFFFF" w:val="clear"/>
        </w:rPr>
      </w:pPr>
      <w:r>
        <w:rPr>
          <w:caps w:val="false"/>
          <w:smallCaps w:val="false"/>
          <w:color w:val="000000"/>
          <w:bdr w:val="single" w:sz="8" w:space="1" w:color="000000"/>
          <w:shd w:fill="FFFFFF" w:val="clear"/>
        </w:rPr>
        <w:t>​</w:t>
      </w:r>
    </w:p>
    <w:p>
      <w:pPr>
        <w:pStyle w:val="TextBody"/>
        <w:bidi w:val="0"/>
        <w:spacing w:lineRule="atLeast" w:line="240" w:before="40" w:after="0"/>
        <w:ind w:left="6873" w:right="40" w:hanging="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Michael Leskinen </w:t>
      </w:r>
      <w:r>
        <mc:AlternateContent>
          <mc:Choice Requires="wps">
            <w:drawing>
              <wp:anchor behindDoc="0" distT="25400" distB="0" distL="3048000" distR="0" simplePos="0" locked="0" layoutInCell="1" allowOverlap="1" relativeHeight="169">
                <wp:simplePos x="0" y="0"/>
                <wp:positionH relativeFrom="column">
                  <wp:align>left</wp:align>
                </wp:positionH>
                <wp:positionV relativeFrom="line">
                  <wp:align>top</wp:align>
                </wp:positionV>
                <wp:extent cx="406400" cy="525780"/>
                <wp:effectExtent l="0" t="0" r="0" b="0"/>
                <wp:wrapSquare wrapText="right"/>
                <wp:docPr id="154" name="Frame154"/>
                <a:graphic xmlns:a="http://schemas.openxmlformats.org/drawingml/2006/main">
                  <a:graphicData uri="http://schemas.microsoft.com/office/word/2010/wordprocessingShape">
                    <wps:wsp>
                      <wps:cNvSpPr txBox="1"/>
                      <wps:spPr>
                        <a:xfrm>
                          <a:off x="0" y="0"/>
                          <a:ext cx="406400" cy="52578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2pt;height:41.4pt;mso-wrap-distance-left:240pt;mso-wrap-distance-right:0pt;mso-wrap-distance-top:2pt;mso-wrap-distance-bottom:0pt;margin-top:2pt;mso-position-vertical:top;mso-position-vertical-relative:text;margin-left:24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0" w:after="0"/>
        <w:ind w:left="6873" w:right="40" w:hanging="0"/>
        <w:jc w:val="left"/>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Executive Vice President and Chief </w:t>
      </w:r>
      <w:r>
        <w:rPr>
          <w:rFonts w:ascii="Times New Roman;Times;serif" w:hAnsi="Times New Roman;Times;serif"/>
          <w:b w:val="false"/>
          <w:i w:val="false"/>
          <w:caps w:val="false"/>
          <w:smallCaps w:val="false"/>
          <w:color w:val="000000"/>
          <w:sz w:val="20"/>
          <w:shd w:fill="FFFFFF" w:val="clear"/>
        </w:rPr>
        <w:br/>
      </w:r>
      <w:r>
        <w:rPr>
          <w:rFonts w:ascii="Times New Roman;Times;serif" w:hAnsi="Times New Roman;Times;serif"/>
          <w:b w:val="false"/>
          <w:i w:val="false"/>
          <w:caps w:val="false"/>
          <w:smallCaps w:val="false"/>
          <w:color w:val="000000"/>
          <w:spacing w:val="4"/>
          <w:sz w:val="20"/>
          <w:shd w:fill="FFFFFF" w:val="clear"/>
        </w:rPr>
        <w:t xml:space="preserve">Financial Officer </w:t>
      </w:r>
      <w:r>
        <mc:AlternateContent>
          <mc:Choice Requires="wps">
            <w:drawing>
              <wp:anchor behindDoc="0" distT="0" distB="0" distL="3048000" distR="0" simplePos="0" locked="0" layoutInCell="1" allowOverlap="1" relativeHeight="170">
                <wp:simplePos x="0" y="0"/>
                <wp:positionH relativeFrom="column">
                  <wp:align>left</wp:align>
                </wp:positionH>
                <wp:positionV relativeFrom="line">
                  <wp:posOffset>635</wp:posOffset>
                </wp:positionV>
                <wp:extent cx="406400" cy="350520"/>
                <wp:effectExtent l="0" t="0" r="0" b="0"/>
                <wp:wrapSquare wrapText="right"/>
                <wp:docPr id="155" name="Frame155"/>
                <a:graphic xmlns:a="http://schemas.openxmlformats.org/drawingml/2006/main">
                  <a:graphicData uri="http://schemas.microsoft.com/office/word/2010/wordprocessingShape">
                    <wps:wsp>
                      <wps:cNvSpPr txBox="1"/>
                      <wps:spPr>
                        <a:xfrm>
                          <a:off x="0" y="0"/>
                          <a:ext cx="4064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2pt;height:27.6pt;mso-wrap-distance-left:240pt;mso-wrap-distance-right:0pt;mso-wrap-distance-top:0pt;mso-wrap-distance-bottom:0pt;margin-top:0pt;mso-position-vertical:top;mso-position-vertical-relative:text;margin-left:162.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433" w:right="40" w:hanging="0"/>
        <w:jc w:val="left"/>
        <w:rPr>
          <w:caps w:val="false"/>
          <w:smallCaps w:val="false"/>
          <w:color w:val="000000"/>
          <w:shd w:fill="FFFFFF" w:val="clear"/>
        </w:rPr>
      </w:pPr>
      <w:r>
        <w:rPr>
          <w:caps w:val="false"/>
          <w:smallCaps w:val="false"/>
          <w:color w:val="000000"/>
          <w:shd w:fill="FFFFFF" w:val="clear"/>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shd w:fill="FFFFFF" w:val="clear"/>
        </w:rPr>
      </w:pPr>
      <w:r>
        <w:rPr>
          <w:rFonts w:ascii="Times New Roman;Times;serif" w:hAnsi="Times New Roman;Times;serif"/>
          <w:b/>
          <w:i w:val="false"/>
          <w:caps w:val="false"/>
          <w:smallCaps w:val="false"/>
          <w:color w:val="000000"/>
          <w:spacing w:val="-4"/>
          <w:sz w:val="20"/>
          <w:shd w:fill="FFFFFF" w:val="clear"/>
        </w:rPr>
        <w:t>POWER OF ATTORNEY</w:t>
      </w:r>
      <w:r>
        <w:rPr>
          <w:rFonts w:ascii="Times New Roman;Times;serif" w:hAnsi="Times New Roman;Times;serif"/>
          <w:b/>
          <w:i w:val="false"/>
          <w:caps w:val="false"/>
          <w:smallCaps w:val="false"/>
          <w:color w:val="000000"/>
          <w:spacing w:val="4"/>
          <w:sz w:val="20"/>
          <w:shd w:fill="FFFFFF" w:val="clear"/>
        </w:rPr>
        <w:t xml:space="preserve">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The undersigned officers and/or directors of United Airlines, Inc. do hereby constitute and appoint Brett J. Hart, Michael Leskinen and Robert S. Rivkin, or either of them, as the undersigned’s true and lawful attorneys-in-fact and agents to do any and all acts and things in the undersigned’s name and behalf in the undersigned’s capacities as officer and/or director, and to execute any and all instruments for the undersigned and in the undersigned’s name in the capacities as officer and/or director which such person or persons may deem necessary or advisable to enable the registrant to comply with the Securities Act and any rules, regulations and requirements of the SEC in connection with this registration statement. Such appointment to act specifically includes, but is not limited to, the power and authority to sign for the undersigned in the capacity as a director and/or officer of the registrant any and all amendments (including post-effective amendments) to this registration statement, and to file the same, with all supplements and exhibits thereto, and all other documents in connection therewith, with the SEC, granting unto said attorneys-in-fact and agents and each of them, full power and authority to do and perform in the name of and on behalf of the undersigned, in any and all capacities, each and every act and thing necessary or desirable to be done in and about the premises, to all intents and purposes and as fully as they might or could do in person, hereby ratifying, approving and confirming all that said attorney-in-fact and agents or their substitutes may lawfully do or cause to be done by virtue hereof. </w:t>
      </w:r>
    </w:p>
    <w:p>
      <w:pPr>
        <w:pStyle w:val="TextBody"/>
        <w:bidi w:val="0"/>
        <w:spacing w:lineRule="atLeast" w:line="240" w:before="160" w:after="283"/>
        <w:ind w:left="1433" w:right="40" w:firstLine="400"/>
        <w:jc w:val="left"/>
        <w:rPr>
          <w:rFonts w:ascii="Times New Roman;Times;serif" w:hAnsi="Times New Roman;Times;serif"/>
          <w:b w:val="false"/>
          <w:i w:val="false"/>
          <w:caps w:val="false"/>
          <w:smallCaps w:val="false"/>
          <w:color w:val="000000"/>
          <w:spacing w:val="4"/>
          <w:sz w:val="20"/>
          <w:shd w:fill="FFFFFF" w:val="clear"/>
        </w:rPr>
      </w:pPr>
      <w:r>
        <w:rPr>
          <w:rFonts w:ascii="Times New Roman;Times;serif" w:hAnsi="Times New Roman;Times;serif"/>
          <w:b w:val="false"/>
          <w:i w:val="false"/>
          <w:caps w:val="false"/>
          <w:smallCaps w:val="false"/>
          <w:color w:val="000000"/>
          <w:spacing w:val="4"/>
          <w:sz w:val="20"/>
          <w:shd w:fill="FFFFFF" w:val="clear"/>
        </w:rPr>
        <w:t xml:space="preserve">Pursuant to the requirements of the Securities Act, this registration statement has been signed below by the following persons in the capacities and on the date indicated. </w:t>
      </w:r>
    </w:p>
    <w:tbl>
      <w:tblPr>
        <w:tblW w:w="8732" w:type="dxa"/>
        <w:jc w:val="left"/>
        <w:tblInd w:w="1433" w:type="dxa"/>
        <w:tblLayout w:type="fixed"/>
        <w:tblCellMar>
          <w:top w:w="0" w:type="dxa"/>
          <w:left w:w="0" w:type="dxa"/>
          <w:bottom w:w="28" w:type="dxa"/>
          <w:right w:w="0" w:type="dxa"/>
        </w:tblCellMar>
      </w:tblPr>
      <w:tblGrid>
        <w:gridCol w:w="124"/>
        <w:gridCol w:w="1683"/>
        <w:gridCol w:w="109"/>
        <w:gridCol w:w="109"/>
        <w:gridCol w:w="4797"/>
        <w:gridCol w:w="109"/>
        <w:gridCol w:w="109"/>
        <w:gridCol w:w="153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6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9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3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0"/>
              <w:jc w:val="center"/>
              <w:rPr/>
            </w:pPr>
            <w:r>
              <w:rPr>
                <w:spacing w:val="4"/>
              </w:rPr>
              <w:t>/s/ J. Scott Kirby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 Scott Kirby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7" w:type="dxa"/>
            <w:tcBorders/>
            <w:tcMar>
              <w:bottom w:w="0" w:type="dxa"/>
            </w:tcMar>
            <w:vAlign w:val="center"/>
          </w:tcPr>
          <w:p>
            <w:pPr>
              <w:pStyle w:val="TableContents"/>
              <w:bidi w:val="0"/>
              <w:spacing w:before="0" w:after="283"/>
              <w:jc w:val="left"/>
              <w:rPr>
                <w:spacing w:val="4"/>
              </w:rPr>
            </w:pPr>
            <w:r>
              <w:rPr>
                <w:spacing w:val="4"/>
              </w:rPr>
              <w:t xml:space="preserve">Chief Executive Officer and Director (Principal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7"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0"/>
              <w:jc w:val="center"/>
              <w:rPr/>
            </w:pPr>
            <w:r>
              <w:rPr>
                <w:spacing w:val="4"/>
              </w:rPr>
              <w:t>/s/ Michael Leskinen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Leskinen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7" w:type="dxa"/>
            <w:tcBorders/>
            <w:tcMar>
              <w:bottom w:w="0" w:type="dxa"/>
            </w:tcMar>
            <w:vAlign w:val="center"/>
          </w:tcPr>
          <w:p>
            <w:pPr>
              <w:pStyle w:val="TableContents"/>
              <w:bidi w:val="0"/>
              <w:spacing w:before="0" w:after="283"/>
              <w:jc w:val="left"/>
              <w:rPr>
                <w:spacing w:val="4"/>
              </w:rPr>
            </w:pPr>
            <w:r>
              <w:rPr>
                <w:spacing w:val="4"/>
              </w:rPr>
              <w:t xml:space="preserve">Executive Vice President, Chief Financial Officer and Director (Principal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7"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0"/>
              <w:jc w:val="center"/>
              <w:rPr/>
            </w:pPr>
            <w:r>
              <w:rPr>
                <w:spacing w:val="4"/>
              </w:rPr>
              <w:t>/s/ Brigitte Bokemeier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Brigitte Bokemeier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7" w:type="dxa"/>
            <w:tcBorders/>
            <w:tcMar>
              <w:bottom w:w="0" w:type="dxa"/>
            </w:tcMar>
            <w:vAlign w:val="center"/>
          </w:tcPr>
          <w:p>
            <w:pPr>
              <w:pStyle w:val="TableContents"/>
              <w:bidi w:val="0"/>
              <w:spacing w:before="0" w:after="283"/>
              <w:jc w:val="left"/>
              <w:rPr>
                <w:spacing w:val="4"/>
              </w:rPr>
            </w:pPr>
            <w:r>
              <w:rPr>
                <w:spacing w:val="4"/>
              </w:rPr>
              <w:t xml:space="preserve">Vice President and Controller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7" w:type="dxa"/>
            <w:tcBorders/>
            <w:tcMar>
              <w:bottom w:w="0" w:type="dxa"/>
            </w:tcMar>
            <w:vAlign w:val="center"/>
          </w:tcPr>
          <w:p>
            <w:pPr>
              <w:pStyle w:val="TableContents"/>
              <w:bidi w:val="0"/>
              <w:spacing w:before="0" w:after="0"/>
              <w:jc w:val="left"/>
              <w:rPr>
                <w:spacing w:val="4"/>
              </w:rPr>
            </w:pPr>
            <w:r>
              <w:rPr>
                <w:spacing w:val="4"/>
              </w:rPr>
              <w:t xml:space="preserve">October 21,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683" w:type="dxa"/>
            <w:tcBorders/>
            <w:tcMar>
              <w:bottom w:w="0" w:type="dxa"/>
            </w:tcMar>
            <w:vAlign w:val="center"/>
          </w:tcPr>
          <w:p>
            <w:pPr>
              <w:pStyle w:val="TableContents"/>
              <w:bidi w:val="0"/>
              <w:spacing w:before="0" w:after="0"/>
              <w:jc w:val="center"/>
              <w:rPr/>
            </w:pPr>
            <w:r>
              <w:rPr>
                <w:spacing w:val="4"/>
              </w:rPr>
              <w:t>/s/ Brett J. Hart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Brett J. Hart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97"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7" w:type="dxa"/>
            <w:tcBorders/>
            <w:tcMar>
              <w:bottom w:w="0" w:type="dxa"/>
            </w:tcMar>
            <w:vAlign w:val="center"/>
          </w:tcPr>
          <w:p>
            <w:pPr>
              <w:pStyle w:val="TableContents"/>
              <w:bidi w:val="0"/>
              <w:spacing w:before="0" w:after="0"/>
              <w:jc w:val="left"/>
              <w:rPr/>
            </w:pPr>
            <w:r>
              <w:rPr>
                <w:spacing w:val="4"/>
              </w:rPr>
              <w:t>October 21,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433" w:right="40" w:hanging="0"/>
        <w:jc w:val="center"/>
        <w:rPr>
          <w:caps w:val="false"/>
          <w:smallCaps w:val="false"/>
          <w:color w:val="000000"/>
          <w:shd w:fill="FFFFFF" w:val="clear"/>
        </w:rPr>
      </w:pPr>
      <w:r>
        <w:rPr>
          <w:caps w:val="false"/>
          <w:smallCaps w:val="false"/>
          <w:color w:val="000000"/>
          <w:spacing w:val="4"/>
          <w:shd w:fill="FFFFFF" w:val="clear"/>
        </w:rPr>
        <w:t> </w:t>
      </w:r>
      <w:r>
        <w:rPr>
          <w:caps w:val="false"/>
          <w:smallCaps w:val="false"/>
          <w:color w:val="000000"/>
          <w:shd w:fill="FFFFFF" w:val="clear"/>
        </w:rPr>
        <w:t xml:space="preserve"> </w:t>
      </w:r>
    </w:p>
    <w:p>
      <w:pPr>
        <w:pStyle w:val="TextBody"/>
        <w:bidi w:val="0"/>
        <w:spacing w:lineRule="atLeast" w:line="240" w:before="100" w:after="283"/>
        <w:ind w:left="1433" w:right="40" w:hanging="0"/>
        <w:jc w:val="center"/>
        <w:rPr>
          <w:rFonts w:ascii="Times New Roman;Times;serif" w:hAnsi="Times New Roman;Times;serif"/>
          <w:b w:val="false"/>
          <w:i w:val="false"/>
          <w:caps w:val="false"/>
          <w:smallCaps w:val="false"/>
          <w:color w:val="000000"/>
          <w:sz w:val="20"/>
          <w:shd w:fill="FFFFFF" w:val="clear"/>
        </w:rPr>
      </w:pPr>
      <w:r>
        <w:rPr>
          <w:rFonts w:ascii="Times New Roman;Times;serif" w:hAnsi="Times New Roman;Times;serif"/>
          <w:b w:val="false"/>
          <w:i w:val="false"/>
          <w:caps w:val="false"/>
          <w:smallCaps w:val="false"/>
          <w:color w:val="000000"/>
          <w:spacing w:val="4"/>
          <w:sz w:val="20"/>
          <w:shd w:fill="FFFFFF" w:val="clear"/>
        </w:rPr>
        <w:t>II-9</w:t>
      </w:r>
      <w:r>
        <w:rPr>
          <w:rFonts w:ascii="Times New Roman;Times;serif" w:hAnsi="Times New Roman;Times;serif"/>
          <w:b w:val="false"/>
          <w:i w:val="false"/>
          <w:caps w:val="false"/>
          <w:smallCaps w:val="false"/>
          <w:color w:val="000000"/>
          <w:sz w:val="20"/>
          <w:shd w:fill="FFFFFF" w:val="clear"/>
        </w:rPr>
        <w:t xml:space="preserve"> </w:t>
      </w:r>
    </w:p>
    <w:p>
      <w:pPr>
        <w:pStyle w:val="HorizontalLine"/>
        <w:bidi w:val="0"/>
        <w:spacing w:before="40" w:after="350"/>
        <w:ind w:left="40" w:right="40" w:hanging="0"/>
        <w:jc w:val="left"/>
        <w:rPr/>
      </w:pPr>
      <w:r>
        <w:rPr/>
      </w:r>
    </w:p>
    <w:p>
      <w:pPr>
        <w:pStyle w:val="TextBody"/>
        <w:bidi w:val="0"/>
        <w:ind w:left="40" w:right="40" w:hanging="0"/>
        <w:jc w:val="left"/>
        <w:rPr/>
      </w:pPr>
      <w:bookmarkStart w:id="31" w:name="tm2627635d2_ex5-1.htm"/>
      <w:bookmarkStart w:id="32" w:name="kstm2627635d2_ex51"/>
      <w:bookmarkEnd w:id="31"/>
      <w:bookmarkEnd w:id="32"/>
      <w:r>
        <w:rPr/>
        <w:t> </w:t>
      </w:r>
      <w:r>
        <w:br w:type="page"/>
      </w:r>
    </w:p>
    <w:p>
      <w:pPr>
        <w:pStyle w:val="TextBody"/>
        <w:bidi w:val="0"/>
        <w:jc w:val="right"/>
        <w:rPr>
          <w:b/>
        </w:rPr>
      </w:pPr>
      <w:r>
        <w:rPr>
          <w:b/>
        </w:rPr>
        <w:t>Exhibit 5.1</w:t>
      </w:r>
    </w:p>
    <w:p>
      <w:pPr>
        <w:pStyle w:val="TextBody"/>
        <w:bidi w:val="0"/>
        <w:spacing w:before="0" w:after="0"/>
        <w:ind w:left="0" w:right="0" w:hanging="0"/>
        <w:jc w:val="left"/>
        <w:rPr>
          <w:caps w:val="false"/>
          <w:smallCaps w:val="false"/>
        </w:rPr>
      </w:pPr>
      <w:r>
        <w:rPr>
          <w:caps w:val="false"/>
          <w:smallCaps w:val="false"/>
        </w:rPr>
        <w:t> </w:t>
      </w:r>
    </w:p>
    <w:tbl>
      <w:tblPr>
        <w:tblW w:w="5600" w:type="dxa"/>
        <w:jc w:val="left"/>
        <w:tblInd w:w="0" w:type="dxa"/>
        <w:tblLayout w:type="fixed"/>
        <w:tblCellMar>
          <w:top w:w="0" w:type="dxa"/>
          <w:left w:w="0" w:type="dxa"/>
          <w:bottom w:w="0" w:type="dxa"/>
          <w:right w:w="0" w:type="dxa"/>
        </w:tblCellMar>
      </w:tblPr>
      <w:tblGrid>
        <w:gridCol w:w="2805"/>
        <w:gridCol w:w="2720"/>
        <w:gridCol w:w="75"/>
      </w:tblGrid>
      <w:tr>
        <w:trPr/>
        <w:tc>
          <w:tcPr>
            <w:tcW w:w="2805" w:type="dxa"/>
            <w:tcBorders/>
            <w:vAlign w:val="center"/>
          </w:tcPr>
          <w:p>
            <w:pPr>
              <w:pStyle w:val="TableContents"/>
              <w:bidi w:val="0"/>
              <w:spacing w:before="0" w:after="283"/>
              <w:jc w:val="left"/>
              <w:rPr/>
            </w:pPr>
            <w:r>
              <w:rPr/>
              <w:drawing>
                <wp:inline distT="0" distB="0" distL="0" distR="0">
                  <wp:extent cx="1771650" cy="504825"/>
                  <wp:effectExtent l="0" t="0" r="0" b="0"/>
                  <wp:docPr id="1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 descr=""/>
                          <pic:cNvPicPr>
                            <a:picLocks noChangeAspect="1" noChangeArrowheads="1"/>
                          </pic:cNvPicPr>
                        </pic:nvPicPr>
                        <pic:blipFill>
                          <a:blip r:embed="rId36"/>
                          <a:stretch>
                            <a:fillRect/>
                          </a:stretch>
                        </pic:blipFill>
                        <pic:spPr bwMode="auto">
                          <a:xfrm>
                            <a:off x="0" y="0"/>
                            <a:ext cx="1771650" cy="504825"/>
                          </a:xfrm>
                          <a:prstGeom prst="rect">
                            <a:avLst/>
                          </a:prstGeom>
                        </pic:spPr>
                      </pic:pic>
                    </a:graphicData>
                  </a:graphic>
                </wp:inline>
              </w:drawing>
            </w:r>
          </w:p>
        </w:tc>
        <w:tc>
          <w:tcPr>
            <w:tcW w:w="2720"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Sidley Austin LLP</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787 Seventh Avenue</w:t>
              <w:br/>
              <w:t>New York, New York 10019</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+1 212 839 5300</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+1 212 839 5599 fax</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South Wacker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South Wacker Drive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60606</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937"/>
        <w:gridCol w:w="9167"/>
      </w:tblGrid>
      <w:tr>
        <w:trPr/>
        <w:tc>
          <w:tcPr>
            <w:tcW w:w="10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Re:</w:t>
            </w:r>
          </w:p>
        </w:tc>
        <w:tc>
          <w:tcPr>
            <w:tcW w:w="9167" w:type="dxa"/>
            <w:tcBorders/>
            <w:vAlign w:val="center"/>
          </w:tcPr>
          <w:p>
            <w:pPr>
              <w:pStyle w:val="TableContents"/>
              <w:bidi w:val="0"/>
              <w:spacing w:before="0" w:after="283"/>
              <w:jc w:val="left"/>
              <w:rPr>
                <w:u w:val="single"/>
              </w:rPr>
            </w:pPr>
            <w:r>
              <w:rPr>
                <w:u w:val="single"/>
              </w:rPr>
              <w:t>Registration Statement on Form S-3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refer to the Registration Statement on Form S-3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being filed by United Airlines Holdings, Inc., a Delaware corporation (“</w:t>
      </w:r>
      <w:r>
        <w:rPr>
          <w:rFonts w:ascii="Times New Roman;Times;Serif" w:hAnsi="Times New Roman;Times;Serif"/>
          <w:b w:val="false"/>
          <w:i w:val="false"/>
          <w:caps w:val="false"/>
          <w:smallCaps w:val="false"/>
          <w:sz w:val="20"/>
          <w:u w:val="single"/>
        </w:rPr>
        <w:t>UAL</w:t>
      </w:r>
      <w:r>
        <w:rPr>
          <w:rFonts w:ascii="Times New Roman;Times;Serif" w:hAnsi="Times New Roman;Times;Serif"/>
          <w:b w:val="false"/>
          <w:i w:val="false"/>
          <w:caps w:val="false"/>
          <w:smallCaps w:val="false"/>
          <w:sz w:val="20"/>
        </w:rPr>
        <w:t>”), and United Airlines, Inc., a Delaware corporation (“</w:t>
      </w:r>
      <w:r>
        <w:rPr>
          <w:rFonts w:ascii="Times New Roman;Times;Serif" w:hAnsi="Times New Roman;Times;Serif"/>
          <w:b w:val="false"/>
          <w:i w:val="false"/>
          <w:caps w:val="false"/>
          <w:smallCaps w:val="false"/>
          <w:sz w:val="20"/>
          <w:u w:val="single"/>
        </w:rPr>
        <w:t>United</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relating to the registration of an unlimited amount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shares of UAL’s common stock, $0.01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shares of UAL’s preferred stock, no par value per share (“</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one or more series of debt securities of UAL (the “</w:t>
      </w:r>
      <w:r>
        <w:rPr>
          <w:rFonts w:ascii="Times New Roman;Times;Serif" w:hAnsi="Times New Roman;Times;Serif"/>
          <w:b w:val="false"/>
          <w:i w:val="false"/>
          <w:caps w:val="false"/>
          <w:smallCaps w:val="false"/>
          <w:sz w:val="20"/>
          <w:u w:val="single"/>
        </w:rPr>
        <w:t>UAL Debt Securities</w:t>
      </w:r>
      <w:r>
        <w:rPr>
          <w:rFonts w:ascii="Times New Roman;Times;Serif" w:hAnsi="Times New Roman;Times;Serif"/>
          <w:b w:val="false"/>
          <w:i w:val="false"/>
          <w:caps w:val="false"/>
          <w:smallCaps w:val="false"/>
          <w:sz w:val="20"/>
        </w:rPr>
        <w:t>”) or United (the “</w:t>
      </w:r>
      <w:r>
        <w:rPr>
          <w:rFonts w:ascii="Times New Roman;Times;Serif" w:hAnsi="Times New Roman;Times;Serif"/>
          <w:b w:val="false"/>
          <w:i w:val="false"/>
          <w:caps w:val="false"/>
          <w:smallCaps w:val="false"/>
          <w:sz w:val="20"/>
          <w:u w:val="single"/>
        </w:rPr>
        <w:t>United Debt Securities</w:t>
      </w:r>
      <w:r>
        <w:rPr>
          <w:rFonts w:ascii="Times New Roman;Times;Serif" w:hAnsi="Times New Roman;Times;Serif"/>
          <w:b w:val="false"/>
          <w:i w:val="false"/>
          <w:caps w:val="false"/>
          <w:smallCaps w:val="false"/>
          <w:sz w:val="20"/>
        </w:rPr>
        <w:t>” and, together with the UAL Debt Securities, the “</w:t>
      </w:r>
      <w:r>
        <w:rPr>
          <w:rFonts w:ascii="Times New Roman;Times;Serif" w:hAnsi="Times New Roman;Times;Serif"/>
          <w:b w:val="false"/>
          <w:i w:val="false"/>
          <w:caps w:val="false"/>
          <w:smallCaps w:val="false"/>
          <w:sz w:val="20"/>
          <w:u w:val="single"/>
        </w:rPr>
        <w:t>Debt Securities</w:t>
      </w:r>
      <w:r>
        <w:rPr>
          <w:rFonts w:ascii="Times New Roman;Times;Serif" w:hAnsi="Times New Roman;Times;Serif"/>
          <w:b w:val="false"/>
          <w:i w:val="false"/>
          <w:caps w:val="false"/>
          <w:smallCaps w:val="false"/>
          <w:sz w:val="20"/>
        </w:rPr>
        <w:t>”), which may be unsecured or secured, senior or subordinated debt securities, and which may be convertible into or exchangeable for shares of Common Stock, Preferred Stock or Warrants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guarantees of the UAL Debt Securities by United (the “</w:t>
      </w:r>
      <w:r>
        <w:rPr>
          <w:rFonts w:ascii="Times New Roman;Times;Serif" w:hAnsi="Times New Roman;Times;Serif"/>
          <w:b w:val="false"/>
          <w:i w:val="false"/>
          <w:caps w:val="false"/>
          <w:smallCaps w:val="false"/>
          <w:sz w:val="20"/>
          <w:u w:val="single"/>
        </w:rPr>
        <w:t>United Debt Guarantees</w:t>
      </w:r>
      <w:r>
        <w:rPr>
          <w:rFonts w:ascii="Times New Roman;Times;Serif" w:hAnsi="Times New Roman;Times;Serif"/>
          <w:b w:val="false"/>
          <w:i w:val="false"/>
          <w:caps w:val="false"/>
          <w:smallCaps w:val="false"/>
          <w:sz w:val="20"/>
        </w:rPr>
        <w:t>”) and guarantees of the United Debt Securities by UAL (the “</w:t>
      </w:r>
      <w:r>
        <w:rPr>
          <w:rFonts w:ascii="Times New Roman;Times;Serif" w:hAnsi="Times New Roman;Times;Serif"/>
          <w:b w:val="false"/>
          <w:i w:val="false"/>
          <w:caps w:val="false"/>
          <w:smallCaps w:val="false"/>
          <w:sz w:val="20"/>
          <w:u w:val="single"/>
        </w:rPr>
        <w:t>UAL Debt Guarantees</w:t>
      </w:r>
      <w:r>
        <w:rPr>
          <w:rFonts w:ascii="Times New Roman;Times;Serif" w:hAnsi="Times New Roman;Times;Serif"/>
          <w:b w:val="false"/>
          <w:i w:val="false"/>
          <w:caps w:val="false"/>
          <w:smallCaps w:val="false"/>
          <w:sz w:val="20"/>
        </w:rPr>
        <w:t>” and, together with the United Debt Guarantees, the “</w:t>
      </w:r>
      <w:r>
        <w:rPr>
          <w:rFonts w:ascii="Times New Roman;Times;Serif" w:hAnsi="Times New Roman;Times;Serif"/>
          <w:b w:val="false"/>
          <w:i w:val="false"/>
          <w:caps w:val="false"/>
          <w:smallCaps w:val="false"/>
          <w:sz w:val="20"/>
          <w:u w:val="single"/>
        </w:rPr>
        <w:t>Debt Guarantees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depositary shares of UAL, representing fractional interests in shares of Preferred Stock (the “</w:t>
      </w:r>
      <w:r>
        <w:rPr>
          <w:rFonts w:ascii="Times New Roman;Times;Serif" w:hAnsi="Times New Roman;Times;Serif"/>
          <w:b w:val="false"/>
          <w:i w:val="false"/>
          <w:caps w:val="false"/>
          <w:smallCaps w:val="false"/>
          <w:sz w:val="20"/>
          <w:u w:val="single"/>
        </w:rPr>
        <w:t>Depositary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stock purchase contracts of UAL (the “</w:t>
      </w:r>
      <w:r>
        <w:rPr>
          <w:rFonts w:ascii="Times New Roman;Times;Serif" w:hAnsi="Times New Roman;Times;Serif"/>
          <w:b w:val="false"/>
          <w:i w:val="false"/>
          <w:caps w:val="false"/>
          <w:smallCaps w:val="false"/>
          <w:sz w:val="20"/>
          <w:u w:val="single"/>
        </w:rPr>
        <w:t>Stock Purchase Contracts</w:t>
      </w:r>
      <w:r>
        <w:rPr>
          <w:rFonts w:ascii="Times New Roman;Times;Serif" w:hAnsi="Times New Roman;Times;Serif"/>
          <w:b w:val="false"/>
          <w:i w:val="false"/>
          <w:caps w:val="false"/>
          <w:smallCaps w:val="false"/>
          <w:sz w:val="20"/>
        </w:rPr>
        <w:t>”), obligating the holders thereof to purchase from UAL and UAL to sell to the holders thereof, shares of Common Stock or Preferred Stock at a future date or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Sidley Austin (NY) LLP is a Delaware limited liability partnership doing business as Sidley Austin LLP and practicing in affiliation with other Sidley Austin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Sidley Austin LLP is a limited liability partnership practicing in affiliation with other Sidley Austin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5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2" descr=""/>
                    <pic:cNvPicPr>
                      <a:picLocks noChangeAspect="1" noChangeArrowheads="1"/>
                    </pic:cNvPicPr>
                  </pic:nvPicPr>
                  <pic:blipFill>
                    <a:blip r:embed="rId37"/>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stock purchase units of UAL (the “</w:t>
      </w:r>
      <w:r>
        <w:rPr>
          <w:rFonts w:ascii="Times New Roman;Times;Serif" w:hAnsi="Times New Roman;Times;Serif"/>
          <w:b w:val="false"/>
          <w:i w:val="false"/>
          <w:caps w:val="false"/>
          <w:smallCaps w:val="false"/>
          <w:sz w:val="20"/>
          <w:u w:val="single"/>
        </w:rPr>
        <w:t>Stock Purchase Units</w:t>
      </w:r>
      <w:r>
        <w:rPr>
          <w:rFonts w:ascii="Times New Roman;Times;Serif" w:hAnsi="Times New Roman;Times;Serif"/>
          <w:b w:val="false"/>
          <w:i w:val="false"/>
          <w:caps w:val="false"/>
          <w:smallCaps w:val="false"/>
          <w:sz w:val="20"/>
        </w:rPr>
        <w:t>”), each representing ownership of a Stock Purchase Contract and UAL Debt Securities, Preferred Stock, a Warrantor debt obligations of third parties, including U.S. Treasury securities, securing the holder’s obligation to purchase shares of Common Stock or Preferred Stock, as applicable, under the applicable Stock Purchase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subscription rights of UAL to purchase shares of Common Stock, Preferred Stock, Depositary Shares or Warrants (the “</w:t>
      </w:r>
      <w:r>
        <w:rPr>
          <w:rFonts w:ascii="Times New Roman;Times;Serif" w:hAnsi="Times New Roman;Times;Serif"/>
          <w:b w:val="false"/>
          <w:i w:val="false"/>
          <w:caps w:val="false"/>
          <w:smallCaps w:val="false"/>
          <w:sz w:val="20"/>
          <w:u w:val="single"/>
        </w:rPr>
        <w:t>Subscription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warrants of UAL to purchase shares of Common Stock, Preferred Stock or UAL Debt Securities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pass through certificates to be issued by one or more trusts (each, a “</w:t>
      </w:r>
      <w:r>
        <w:rPr>
          <w:rFonts w:ascii="Times New Roman;Times;Serif" w:hAnsi="Times New Roman;Times;Serif"/>
          <w:b w:val="false"/>
          <w:i w:val="false"/>
          <w:caps w:val="false"/>
          <w:smallCaps w:val="false"/>
          <w:sz w:val="20"/>
          <w:u w:val="single"/>
        </w:rPr>
        <w:t>Trust</w:t>
      </w:r>
      <w:r>
        <w:rPr>
          <w:rFonts w:ascii="Times New Roman;Times;Serif" w:hAnsi="Times New Roman;Times;Serif"/>
          <w:b w:val="false"/>
          <w:i w:val="false"/>
          <w:caps w:val="false"/>
          <w:smallCaps w:val="false"/>
          <w:sz w:val="20"/>
        </w:rPr>
        <w:t>”) to be formed by United, as creator of each Trust, with a national or state bank or trust company, as trustee (the “</w:t>
      </w:r>
      <w:r>
        <w:rPr>
          <w:rFonts w:ascii="Times New Roman;Times;Serif" w:hAnsi="Times New Roman;Times;Serif"/>
          <w:b w:val="false"/>
          <w:i w:val="false"/>
          <w:caps w:val="false"/>
          <w:smallCaps w:val="false"/>
          <w:sz w:val="20"/>
          <w:u w:val="single"/>
        </w:rPr>
        <w:t>Pass Through Certificates</w:t>
      </w:r>
      <w:r>
        <w:rPr>
          <w:rFonts w:ascii="Times New Roman;Times;Serif" w:hAnsi="Times New Roman;Times;Serif"/>
          <w:b w:val="false"/>
          <w:i w:val="false"/>
          <w:caps w:val="false"/>
          <w:smallCaps w:val="false"/>
          <w:sz w:val="20"/>
        </w:rPr>
        <w:t>”), each representing a beneficial interest in all property held by such Trust;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guarantees by UAL (the “</w:t>
      </w:r>
      <w:r>
        <w:rPr>
          <w:rFonts w:ascii="Times New Roman;Times;Serif" w:hAnsi="Times New Roman;Times;Serif"/>
          <w:b w:val="false"/>
          <w:i w:val="false"/>
          <w:caps w:val="false"/>
          <w:smallCaps w:val="false"/>
          <w:sz w:val="20"/>
          <w:u w:val="single"/>
        </w:rPr>
        <w:t>PTC Guarantees</w:t>
      </w:r>
      <w:r>
        <w:rPr>
          <w:rFonts w:ascii="Times New Roman;Times;Serif" w:hAnsi="Times New Roman;Times;Serif"/>
          <w:b w:val="false"/>
          <w:i w:val="false"/>
          <w:caps w:val="false"/>
          <w:smallCaps w:val="false"/>
          <w:sz w:val="20"/>
        </w:rPr>
        <w:t>”) of certain obligations of United relating to property owned by a Trust that issues Pass Through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the Preferred Stock, the Debt Securities, the Debt Guarantees, the Depositary Shares, the Stock Purchase Contracts, the Stock Purchase Units, the Subscription Rights, the Warrants, the Pass Through Certificates and the PTC Guarantees are collectively referred to herein as the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Debt Securities and the Debt Guarantees will be issued under the Indenture, dated as of May 7, 2013 (the “</w:t>
      </w:r>
      <w:r>
        <w:rPr>
          <w:rFonts w:ascii="Times New Roman;Times;Serif" w:hAnsi="Times New Roman;Times;Serif"/>
          <w:b w:val="false"/>
          <w:i w:val="false"/>
          <w:caps w:val="false"/>
          <w:smallCaps w:val="false"/>
          <w:sz w:val="20"/>
          <w:u w:val="single"/>
        </w:rPr>
        <w:t>Indenture</w:t>
      </w:r>
      <w:r>
        <w:rPr>
          <w:rFonts w:ascii="Times New Roman;Times;Serif" w:hAnsi="Times New Roman;Times;Serif"/>
          <w:b w:val="false"/>
          <w:i w:val="false"/>
          <w:caps w:val="false"/>
          <w:smallCaps w:val="false"/>
          <w:sz w:val="20"/>
        </w:rPr>
        <w:t>”), among UAL (f/k/a United Continental Holdings, Inc.), United and The Bank of New York Mellon Trust Company, N.A., as trustee thereunder (the “</w:t>
      </w:r>
      <w:r>
        <w:rPr>
          <w:rFonts w:ascii="Times New Roman;Times;Serif" w:hAnsi="Times New Roman;Times;Serif"/>
          <w:b w:val="false"/>
          <w:i w:val="false"/>
          <w:caps w:val="false"/>
          <w:smallCaps w:val="false"/>
          <w:sz w:val="20"/>
          <w:u w:val="single"/>
        </w:rPr>
        <w:t>Indenture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Depositary Shares will be issued under a deposit agreement (each, a “</w:t>
      </w:r>
      <w:r>
        <w:rPr>
          <w:rFonts w:ascii="Times New Roman;Times;Serif" w:hAnsi="Times New Roman;Times;Serif"/>
          <w:b w:val="false"/>
          <w:i w:val="false"/>
          <w:caps w:val="false"/>
          <w:smallCaps w:val="false"/>
          <w:sz w:val="20"/>
          <w:u w:val="single"/>
        </w:rPr>
        <w:t>Deposit Agreement</w:t>
      </w:r>
      <w:r>
        <w:rPr>
          <w:rFonts w:ascii="Times New Roman;Times;Serif" w:hAnsi="Times New Roman;Times;Serif"/>
          <w:b w:val="false"/>
          <w:i w:val="false"/>
          <w:caps w:val="false"/>
          <w:smallCaps w:val="false"/>
          <w:sz w:val="20"/>
        </w:rPr>
        <w:t>”) to be entered into between UAL and a depositary (each, a “</w:t>
      </w:r>
      <w:r>
        <w:rPr>
          <w:rFonts w:ascii="Times New Roman;Times;Serif" w:hAnsi="Times New Roman;Times;Serif"/>
          <w:b w:val="false"/>
          <w:i w:val="false"/>
          <w:caps w:val="false"/>
          <w:smallCaps w:val="false"/>
          <w:sz w:val="20"/>
          <w:u w:val="single"/>
        </w:rPr>
        <w:t>Depositary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Stock Purchase Contracts will be issued under a stock purchase contract (each, a “</w:t>
      </w:r>
      <w:r>
        <w:rPr>
          <w:rFonts w:ascii="Times New Roman;Times;Serif" w:hAnsi="Times New Roman;Times;Serif"/>
          <w:b w:val="false"/>
          <w:i w:val="false"/>
          <w:caps w:val="false"/>
          <w:smallCaps w:val="false"/>
          <w:sz w:val="20"/>
          <w:u w:val="single"/>
        </w:rPr>
        <w:t>Stock Purchase Contract Agreement</w:t>
      </w:r>
      <w:r>
        <w:rPr>
          <w:rFonts w:ascii="Times New Roman;Times;Serif" w:hAnsi="Times New Roman;Times;Serif"/>
          <w:b w:val="false"/>
          <w:i w:val="false"/>
          <w:caps w:val="false"/>
          <w:smallCaps w:val="false"/>
          <w:sz w:val="20"/>
        </w:rPr>
        <w:t>”) to be entered into between UAL and a purchase contract agent (each, a “</w:t>
      </w:r>
      <w:r>
        <w:rPr>
          <w:rFonts w:ascii="Times New Roman;Times;Serif" w:hAnsi="Times New Roman;Times;Serif"/>
          <w:b w:val="false"/>
          <w:i w:val="false"/>
          <w:caps w:val="false"/>
          <w:smallCaps w:val="false"/>
          <w:sz w:val="20"/>
          <w:u w:val="single"/>
        </w:rPr>
        <w:t>Stock Purchase Contract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5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3" descr=""/>
                    <pic:cNvPicPr>
                      <a:picLocks noChangeAspect="1" noChangeArrowheads="1"/>
                    </pic:cNvPicPr>
                  </pic:nvPicPr>
                  <pic:blipFill>
                    <a:blip r:embed="rId38"/>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Stock Purchase Units will be issued under a stock purchase unit agreement (each, a “</w:t>
      </w:r>
      <w:r>
        <w:rPr>
          <w:rFonts w:ascii="Times New Roman;Times;Serif" w:hAnsi="Times New Roman;Times;Serif"/>
          <w:b w:val="false"/>
          <w:i w:val="false"/>
          <w:caps w:val="false"/>
          <w:smallCaps w:val="false"/>
          <w:sz w:val="20"/>
          <w:u w:val="single"/>
        </w:rPr>
        <w:t>Stock Purchase Unit Agreement</w:t>
      </w:r>
      <w:r>
        <w:rPr>
          <w:rFonts w:ascii="Times New Roman;Times;Serif" w:hAnsi="Times New Roman;Times;Serif"/>
          <w:b w:val="false"/>
          <w:i w:val="false"/>
          <w:caps w:val="false"/>
          <w:smallCaps w:val="false"/>
          <w:sz w:val="20"/>
        </w:rPr>
        <w:t>”) to be entered into between UAL and a unit agent (each, a “</w:t>
      </w:r>
      <w:r>
        <w:rPr>
          <w:rFonts w:ascii="Times New Roman;Times;Serif" w:hAnsi="Times New Roman;Times;Serif"/>
          <w:b w:val="false"/>
          <w:i w:val="false"/>
          <w:caps w:val="false"/>
          <w:smallCaps w:val="false"/>
          <w:sz w:val="20"/>
          <w:u w:val="single"/>
        </w:rPr>
        <w:t>Stock Purchase Unit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Subscription Rights will be issued under a subscription rights certificate (each, a “</w:t>
      </w:r>
      <w:r>
        <w:rPr>
          <w:rFonts w:ascii="Times New Roman;Times;Serif" w:hAnsi="Times New Roman;Times;Serif"/>
          <w:b w:val="false"/>
          <w:i w:val="false"/>
          <w:caps w:val="false"/>
          <w:smallCaps w:val="false"/>
          <w:sz w:val="20"/>
          <w:u w:val="single"/>
        </w:rPr>
        <w:t>Subscription Rights Certificate</w:t>
      </w:r>
      <w:r>
        <w:rPr>
          <w:rFonts w:ascii="Times New Roman;Times;Serif" w:hAnsi="Times New Roman;Times;Serif"/>
          <w:b w:val="false"/>
          <w:i w:val="false"/>
          <w:caps w:val="false"/>
          <w:smallCaps w:val="false"/>
          <w:sz w:val="20"/>
        </w:rPr>
        <w:t>”) to be entered into between UAL and a subscription rights agent (each, a “</w:t>
      </w:r>
      <w:r>
        <w:rPr>
          <w:rFonts w:ascii="Times New Roman;Times;Serif" w:hAnsi="Times New Roman;Times;Serif"/>
          <w:b w:val="false"/>
          <w:i w:val="false"/>
          <w:caps w:val="false"/>
          <w:smallCaps w:val="false"/>
          <w:sz w:val="20"/>
          <w:u w:val="single"/>
        </w:rPr>
        <w:t>Subscription Rights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Warrants will be issued under a warrant agreement (each, a “</w:t>
      </w:r>
      <w:r>
        <w:rPr>
          <w:rFonts w:ascii="Times New Roman;Times;Serif" w:hAnsi="Times New Roman;Times;Serif"/>
          <w:b w:val="false"/>
          <w:i w:val="false"/>
          <w:caps w:val="false"/>
          <w:smallCaps w:val="false"/>
          <w:sz w:val="20"/>
          <w:u w:val="single"/>
        </w:rPr>
        <w:t>Warrant Agreement</w:t>
      </w:r>
      <w:r>
        <w:rPr>
          <w:rFonts w:ascii="Times New Roman;Times;Serif" w:hAnsi="Times New Roman;Times;Serif"/>
          <w:b w:val="false"/>
          <w:i w:val="false"/>
          <w:caps w:val="false"/>
          <w:smallCaps w:val="false"/>
          <w:sz w:val="20"/>
        </w:rPr>
        <w:t>”) to be entered into between UAL and a warrant agent (each, a “</w:t>
      </w:r>
      <w:r>
        <w:rPr>
          <w:rFonts w:ascii="Times New Roman;Times;Serif" w:hAnsi="Times New Roman;Times;Serif"/>
          <w:b w:val="false"/>
          <w:i w:val="false"/>
          <w:caps w:val="false"/>
          <w:smallCaps w:val="false"/>
          <w:sz w:val="20"/>
          <w:u w:val="single"/>
        </w:rPr>
        <w:t>Warrant Agent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Pass Through Certificates and the PTC Guarantees will be issued in one or more series under the Pass Through Trust Agreement, dated as of October 3, 2012 (the “</w:t>
      </w:r>
      <w:r>
        <w:rPr>
          <w:rFonts w:ascii="Times New Roman;Times;Serif" w:hAnsi="Times New Roman;Times;Serif"/>
          <w:b w:val="false"/>
          <w:i w:val="false"/>
          <w:caps w:val="false"/>
          <w:smallCaps w:val="false"/>
          <w:sz w:val="20"/>
          <w:u w:val="single"/>
        </w:rPr>
        <w:t>Pass Through Trust Agreement</w:t>
      </w:r>
      <w:r>
        <w:rPr>
          <w:rFonts w:ascii="Times New Roman;Times;Serif" w:hAnsi="Times New Roman;Times;Serif"/>
          <w:b w:val="false"/>
          <w:i w:val="false"/>
          <w:caps w:val="false"/>
          <w:smallCaps w:val="false"/>
          <w:sz w:val="20"/>
        </w:rPr>
        <w:t>”), between United and Wilmington Trust, National Association, as trustee thereunder (the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as supplemented by a separate trust supplement (each, a “</w:t>
      </w:r>
      <w:r>
        <w:rPr>
          <w:rFonts w:ascii="Times New Roman;Times;Serif" w:hAnsi="Times New Roman;Times;Serif"/>
          <w:b w:val="false"/>
          <w:i w:val="false"/>
          <w:caps w:val="false"/>
          <w:smallCaps w:val="false"/>
          <w:sz w:val="20"/>
          <w:u w:val="single"/>
        </w:rPr>
        <w:t>Trust Supplement</w:t>
      </w:r>
      <w:r>
        <w:rPr>
          <w:rFonts w:ascii="Times New Roman;Times;Serif" w:hAnsi="Times New Roman;Times;Serif"/>
          <w:b w:val="false"/>
          <w:i w:val="false"/>
          <w:caps w:val="false"/>
          <w:smallCaps w:val="false"/>
          <w:sz w:val="20"/>
        </w:rPr>
        <w:t>”) relating to each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substantially in the form that has been or will be filed and incorporated by reference as an exhibit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delivered in accordance with the requirements of Item 601(b)(5) of Regulation S-K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Registration Statement, the exhibits thereto, the certificate of incorporation of UAL, as amended to the date hereof (the “</w:t>
      </w:r>
      <w:r>
        <w:rPr>
          <w:rFonts w:ascii="Times New Roman;Times;Serif" w:hAnsi="Times New Roman;Times;Serif"/>
          <w:b w:val="false"/>
          <w:i w:val="false"/>
          <w:caps w:val="false"/>
          <w:smallCaps w:val="false"/>
          <w:sz w:val="20"/>
          <w:u w:val="single"/>
        </w:rPr>
        <w:t>UAL Charter</w:t>
      </w:r>
      <w:r>
        <w:rPr>
          <w:rFonts w:ascii="Times New Roman;Times;Serif" w:hAnsi="Times New Roman;Times;Serif"/>
          <w:b w:val="false"/>
          <w:i w:val="false"/>
          <w:caps w:val="false"/>
          <w:smallCaps w:val="false"/>
          <w:sz w:val="20"/>
        </w:rPr>
        <w:t>”), the certificate of incorporation of United, as amended to the date hereof (the “</w:t>
      </w:r>
      <w:r>
        <w:rPr>
          <w:rFonts w:ascii="Times New Roman;Times;Serif" w:hAnsi="Times New Roman;Times;Serif"/>
          <w:b w:val="false"/>
          <w:i w:val="false"/>
          <w:caps w:val="false"/>
          <w:smallCaps w:val="false"/>
          <w:sz w:val="20"/>
          <w:u w:val="single"/>
        </w:rPr>
        <w:t>United Charter</w:t>
      </w:r>
      <w:r>
        <w:rPr>
          <w:rFonts w:ascii="Times New Roman;Times;Serif" w:hAnsi="Times New Roman;Times;Serif"/>
          <w:b w:val="false"/>
          <w:i w:val="false"/>
          <w:caps w:val="false"/>
          <w:smallCaps w:val="false"/>
          <w:sz w:val="20"/>
        </w:rPr>
        <w:t>”), the bylaws of UAL, as amended to the date hereof (the “</w:t>
      </w:r>
      <w:r>
        <w:rPr>
          <w:rFonts w:ascii="Times New Roman;Times;Serif" w:hAnsi="Times New Roman;Times;Serif"/>
          <w:b w:val="false"/>
          <w:i w:val="false"/>
          <w:caps w:val="false"/>
          <w:smallCaps w:val="false"/>
          <w:sz w:val="20"/>
          <w:u w:val="single"/>
        </w:rPr>
        <w:t>UAL Bylaws</w:t>
      </w:r>
      <w:r>
        <w:rPr>
          <w:rFonts w:ascii="Times New Roman;Times;Serif" w:hAnsi="Times New Roman;Times;Serif"/>
          <w:b w:val="false"/>
          <w:i w:val="false"/>
          <w:caps w:val="false"/>
          <w:smallCaps w:val="false"/>
          <w:sz w:val="20"/>
        </w:rPr>
        <w:t>”), the by-laws of United, as amended to the date hereof (the “</w:t>
      </w:r>
      <w:r>
        <w:rPr>
          <w:rFonts w:ascii="Times New Roman;Times;Serif" w:hAnsi="Times New Roman;Times;Serif"/>
          <w:b w:val="false"/>
          <w:i w:val="false"/>
          <w:caps w:val="false"/>
          <w:smallCaps w:val="false"/>
          <w:sz w:val="20"/>
          <w:u w:val="single"/>
        </w:rPr>
        <w:t>United By-Laws</w:t>
      </w:r>
      <w:r>
        <w:rPr>
          <w:rFonts w:ascii="Times New Roman;Times;Serif" w:hAnsi="Times New Roman;Times;Serif"/>
          <w:b w:val="false"/>
          <w:i w:val="false"/>
          <w:caps w:val="false"/>
          <w:smallCaps w:val="false"/>
          <w:sz w:val="20"/>
        </w:rPr>
        <w:t>”), the resolutions (the “</w:t>
      </w:r>
      <w:r>
        <w:rPr>
          <w:rFonts w:ascii="Times New Roman;Times;Serif" w:hAnsi="Times New Roman;Times;Serif"/>
          <w:b w:val="false"/>
          <w:i w:val="false"/>
          <w:caps w:val="false"/>
          <w:smallCaps w:val="false"/>
          <w:sz w:val="20"/>
          <w:u w:val="single"/>
        </w:rPr>
        <w:t>UAL Resolutions</w:t>
      </w:r>
      <w:r>
        <w:rPr>
          <w:rFonts w:ascii="Times New Roman;Times;Serif" w:hAnsi="Times New Roman;Times;Serif"/>
          <w:b w:val="false"/>
          <w:i w:val="false"/>
          <w:caps w:val="false"/>
          <w:smallCaps w:val="false"/>
          <w:sz w:val="20"/>
        </w:rPr>
        <w:t>”) relating to the Registration Statement adopted by the board of directors of UAL (the “</w:t>
      </w:r>
      <w:r>
        <w:rPr>
          <w:rFonts w:ascii="Times New Roman;Times;Serif" w:hAnsi="Times New Roman;Times;Serif"/>
          <w:b w:val="false"/>
          <w:i w:val="false"/>
          <w:caps w:val="false"/>
          <w:smallCaps w:val="false"/>
          <w:sz w:val="20"/>
          <w:u w:val="single"/>
        </w:rPr>
        <w:t>UAL Board</w:t>
      </w:r>
      <w:r>
        <w:rPr>
          <w:rFonts w:ascii="Times New Roman;Times;Serif" w:hAnsi="Times New Roman;Times;Serif"/>
          <w:b w:val="false"/>
          <w:i w:val="false"/>
          <w:caps w:val="false"/>
          <w:smallCaps w:val="false"/>
          <w:sz w:val="20"/>
        </w:rPr>
        <w:t>”) and the resolutions (the “</w:t>
      </w:r>
      <w:r>
        <w:rPr>
          <w:rFonts w:ascii="Times New Roman;Times;Serif" w:hAnsi="Times New Roman;Times;Serif"/>
          <w:b w:val="false"/>
          <w:i w:val="false"/>
          <w:caps w:val="false"/>
          <w:smallCaps w:val="false"/>
          <w:sz w:val="20"/>
          <w:u w:val="single"/>
        </w:rPr>
        <w:t>United Resolutions</w:t>
      </w:r>
      <w:r>
        <w:rPr>
          <w:rFonts w:ascii="Times New Roman;Times;Serif" w:hAnsi="Times New Roman;Times;Serif"/>
          <w:b w:val="false"/>
          <w:i w:val="false"/>
          <w:caps w:val="false"/>
          <w:smallCaps w:val="false"/>
          <w:sz w:val="20"/>
        </w:rPr>
        <w:t>”) adopted by the board of directors of United (the “</w:t>
      </w:r>
      <w:r>
        <w:rPr>
          <w:rFonts w:ascii="Times New Roman;Times;Serif" w:hAnsi="Times New Roman;Times;Serif"/>
          <w:b w:val="false"/>
          <w:i w:val="false"/>
          <w:caps w:val="false"/>
          <w:smallCaps w:val="false"/>
          <w:sz w:val="20"/>
          <w:u w:val="single"/>
        </w:rPr>
        <w:t>United Board</w:t>
      </w:r>
      <w:r>
        <w:rPr>
          <w:rFonts w:ascii="Times New Roman;Times;Serif" w:hAnsi="Times New Roman;Times;Serif"/>
          <w:b w:val="false"/>
          <w:i w:val="false"/>
          <w:caps w:val="false"/>
          <w:smallCaps w:val="false"/>
          <w:sz w:val="20"/>
        </w:rPr>
        <w:t>”) relating to the Registration Statement. We have also examined originals, or copies of originals certified to our satisfaction, of such agreements, documents, certificates and statements of UAL, United and others,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UAL and United.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5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4" descr=""/>
                    <pic:cNvPicPr>
                      <a:picLocks noChangeAspect="1" noChangeArrowheads="1"/>
                    </pic:cNvPicPr>
                  </pic:nvPicPr>
                  <pic:blipFill>
                    <a:blip r:embed="rId39"/>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and subject to the foregoing and the other limitations, qualifications and assumptions set forth herein, we are of the opinion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an offering of shares of Common Stock covered by the Registration Statement, such shares of Common Stock will be validly issued, fully paid and nonassessable when: (i) the Registration Statement (including any necessary post-effective amendments), shall have become effective under the Securities Act; (ii) a prospectus supplement with respect to the sale of such shares of Common Stock shall have been filed with the SEC in compliance with the Securities Act and the rules and regulations thereunder; (iii) the UAL Board or a duly authorized committee thereof shall have duly adopted final resolutions in conformity with the UAL Charter, the UAL Bylaws and the UAL Resolutions authorizing the issuance and sale of such shares of Common Stock; and (iv) the certificates, if any, representing such shares of Common Stock shall have been duly executed, countersigned and registered and duly delivered in accordance with the applicable definitive purchase, underwriting or similar agreement upon payment of the agreed consideration therefor in an amount not less than the aggregate par value thereof or, if any such shares of Common Stock are to be issued in uncertificated form, UAL’s books shall reflect the issuance of such shares of Common Stock in accordance with the applicable definitive purchase, underwriting or similar agreement to the purchasers thereof upon payment of the agreed consideration therefor in an amount not less than the aggregate par value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issuance and sale of each series of Preferred Stock covered by the Registration Statement will be duly authorized, and each share of such series of Preferred Stock will be validly issued, fully paid and nonassessable, when: (i) the Registration Statement (including any necessary post-effective amendments), shall have become effective under the Securities Act; (ii) a prospectus supplement with respect to the sale of such series of Preferred Stock shall have been filed with the SEC in compliance with the Securities Act and the rules and regulations thereunder; (iii) the UAL Board or a duly authorized committee thereof shall have duly adopted final resolutions in conformity with the UAL Charter, the UAL Bylaws and the UAL Resolutions establishing the designations, preferences, rights, qualifications, limitations or restrictions of such series of Preferred Stock and authorizing the issuance and sale of such series of Preferred Stock; (iv) UAL shall have filed with the Secretary of State of the State of Delaware a Certificate of Designation with respect to such series of Preferred Stock in accordance with the General Corporation Law of the State of Delaware (the “</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and in conformity with the UAL Charter and such final resolutions; and (v) the certificates, if any, representing such series of Preferred Stock shall have been duly executed, countersigned and registered and duly delivered in accordance with the applicable definitive purchase, underwriting or similar agreement to the purchasers thereof against payment of the agreed consideration therefor or, if any shares of such series of Preferred Stock are to be issued in uncertificated form, UAL’s books shall reflect the issuance of such shares in accordance with the applicable definitive purchase, underwriting or similar agreement upon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 descr=""/>
                    <pic:cNvPicPr>
                      <a:picLocks noChangeAspect="1" noChangeArrowheads="1"/>
                    </pic:cNvPicPr>
                  </pic:nvPicPr>
                  <pic:blipFill>
                    <a:blip r:embed="rId40"/>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UAL Debt Securities of each series covered by the Registration Statement will constitute valid and binding obligations of UAL and the United Debt Guarantees (if any) of each such series of UAL Debt Securities will constitute valid and binding obligations of United when: (i) the Registration Statement (including any necessary post-effective amendments), shall have become effective under the Securities Act; (ii) a prospectus supplement with respect to such series of UAL Debt Securities and the related United Debt Guarantees (if any) shall have been filed with the SEC in compliance with the Securities Act and the rules and regulations thereunder; (iii) all necessary corporate action shall have been taken by UAL to authorize the form, terms, execution, delivery, performance, issuance and sale of such series of UAL Debt Securities as contemplated by the Registration Statement, the prospectus supplement relating to such series of UAL Debt Securities and the related United Debt Guarantees (if any) and the Indenture and to authorize the execution, delivery and performance of a supplemental indenture or officers’ certificate establishing the form and terms of such series of UAL Debt Securities as contemplated by the Indenture; (iv) all necessary corporate action shall have been taken by United to authorize the terms and issuance of its United Debt Guarantee (if any) related to such series of UAL Debt Securities as contemplated by the Registration Statement, the prospectus supplement relating to such series of UAL Debt Securities and the related United Debt Guarantees (if any) and the Indenture and to authorize the execution, delivery and performance of a supplemental indenture (if any) establishing the form and terms of such United Debt Guarantee (if any) as contemplated by the Indenture; (v) a supplemental indenture or officers’ certificate establishing the form and terms of such series of UAL Debt Securities shall have been duly executed and delivered by UAL, United (in the case of such a supplemental indenture) and the Indenture Trustee (in the case of such a supplemental indenture) or by duly authorized officers of UAL (in the case of such an officers’ certificate), in each case in accordance with the provisions of the UAL Charter, the UAL Bylaws, the UAL Resolutions, final resolutions of the UAL Board or a duly authorized committee thereof, as applicable, and the Indenture and, if applicable, the United Charter, the United By-Laws, the United Resolutions and final resolutions of the United Board or a duly authorized committee thereof; (vi) if such UAL Debt Securities are convertible or exchangeable into shares of Common Stock, the actions described in paragraph 1 above shall have been taken; (vii) if such UAL Debt Securities are convertible or exchangeable into shares of Preferred Stock, the actions described in paragraph 2 above shall have been taken; (viii) if such UAL Debt Securities are convertible or exchangeable into Warrants, the actions described in paragraph 9 below shall have been taken; and (ix) the certificates, if any, evidencing the UAL Debt Securities of such series shall have been duly executed and delivered by UAL (and any endorsement or notation of United Debt Guarantee (if any) associated with such series of UAL Debt Securities (each, a “</w:t>
      </w:r>
      <w:r>
        <w:rPr>
          <w:rFonts w:ascii="Times New Roman;Times;Serif" w:hAnsi="Times New Roman;Times;Serif"/>
          <w:b w:val="false"/>
          <w:i w:val="false"/>
          <w:caps w:val="false"/>
          <w:smallCaps w:val="false"/>
          <w:sz w:val="20"/>
          <w:u w:val="single"/>
        </w:rPr>
        <w:t>Notation of United Debt Guarantee</w:t>
      </w:r>
      <w:r>
        <w:rPr>
          <w:rFonts w:ascii="Times New Roman;Times;Serif" w:hAnsi="Times New Roman;Times;Serif"/>
          <w:b w:val="false"/>
          <w:i w:val="false"/>
          <w:caps w:val="false"/>
          <w:smallCaps w:val="false"/>
          <w:sz w:val="20"/>
        </w:rPr>
        <w:t>”) shall have been duly executed and delivered by United), authenticated by the Indenture Trustee and issued, all in accordance with the UAL Charter, the UAL Bylaws, the UAL Resolutions, final resolutions of the UAL Board or a duly authorized committee thereof, as applicable, the Indenture and the supplemental indenture or officers’ certificate, as the case may be, establishing the form and terms of the UAL Debt Securities of such series and, if applicable, the United Charter, the United By-Laws, the United Resolutions and final resolutions of the United Board or a duly authorized committee thereof, and shall have been duly delivered in accordance with the applicable definitive purchase, underwriting or similar agreement to the purchasers thereof against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 descr=""/>
                    <pic:cNvPicPr>
                      <a:picLocks noChangeAspect="1" noChangeArrowheads="1"/>
                    </pic:cNvPicPr>
                  </pic:nvPicPr>
                  <pic:blipFill>
                    <a:blip r:embed="rId41"/>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United Debt Securities of each series covered by the Registration Statement will constitute valid and binding obligations of United and the UAL Debt Guarantees (if any) of each such series of United Debt Securities will constitute valid and binding obligations of UAL when: (i) the Registration Statement (including any necessary post-effective amendments), shall have become effective under the Securities Act; (ii) a prospectus supplement with respect to such series of United Debt Securities and the related UAL Debt Guarantees (if any) shall have been filed with the SEC in compliance with the Securities Act and the rules and regulations thereunder; (iii) all necessary corporate action shall have been taken by United to authorize the form, terms, execution, delivery, performance, issuance and sale of such series of United Debt Securities as contemplated by the Registration Statement, the prospectus supplement relating to such series of United Debt Securities and the related UAL Debt Guarantees (if any) and the Indenture and to authorize the execution, delivery and performance of a supplemental indenture or officers’ certificate establishing the form and terms of such series of United Debt Securities as contemplated by the Indenture; (iv) all necessary corporate action shall have been taken by UAL to authorize the terms and issuance of its UAL Debt Guarantee (if any) related to such series of United Debt Securities as contemplated by the Registration Statement, the prospectus supplement relating to such series of United Debt Securities and the related UAL Debt Guarantees (if any) and the Indenture and to authorize the execution, delivery and performance of a supplemental indenture (if any) establishing the form and terms of such UAL Debt Guarantee (if any) as contemplated by the Indenture; (v) a supplemental indenture or officers’ certificate establishing the form and terms of such series of United Debt Securities shall have been duly executed and delivered by United, UAL (in the case of such a supplemental indenture) and the Indenture Trustee (in the case of such a supplemental indenture) or by duly authorized officers of United (in the case of such an officers’ certificate), in each case in accordance with the provisions of the United Charter, the United By-Laws, the United Resolutions, final resolutions of the United Board or a duly authorized committee thereof, as applicable, and the Indenture and, if applicable, the UAL Charter, the UAL Bylaws, the UAL Resolutions and final resolutions of the UAL Board or a duly authorized committee thereof; (vi) if such United Debt Securities are convertible or exchangeable into shares of Common Stock, the actions described in paragraph 1 above shall have been taken; (vii) if such United Debt Securities are convertible or exchangeable into shares of Preferred Stock, the actions described in paragraph 2 above shall have been taken; (viii) if such United Debt Securities are convertible or exchangeable into Warrants, the actions described in paragraph 9 below shall have been taken; and (ix) the certificates, if any, evidencing the United Debt Securities of such series shall have been duly executed and delivered by United (and any endorsement or notation of UAL Debt Guarantee (if any) associated with such series of United Debt Securities (each, a “</w:t>
      </w:r>
      <w:r>
        <w:rPr>
          <w:rFonts w:ascii="Times New Roman;Times;Serif" w:hAnsi="Times New Roman;Times;Serif"/>
          <w:b w:val="false"/>
          <w:i w:val="false"/>
          <w:caps w:val="false"/>
          <w:smallCaps w:val="false"/>
          <w:sz w:val="20"/>
          <w:u w:val="single"/>
        </w:rPr>
        <w:t>Notation of UAL Debt Guarantee</w:t>
      </w:r>
      <w:r>
        <w:rPr>
          <w:rFonts w:ascii="Times New Roman;Times;Serif" w:hAnsi="Times New Roman;Times;Serif"/>
          <w:b w:val="false"/>
          <w:i w:val="false"/>
          <w:caps w:val="false"/>
          <w:smallCaps w:val="false"/>
          <w:sz w:val="20"/>
        </w:rPr>
        <w:t>”) shall have been duly executed and delivered by UAL), authenticated by the Indenture Trustee and issued, all in accordance with the United Charter, the United By-Laws, the United Resolutions, final resolutions of the United Board or a duly authorized committee thereof, as applicable, the Indenture and the supplemental indenture or officers’ certificate, as the case may be, establishing the form and terms of the United Debt Securities of such series and, if applicable, the UAL Charter, the UAL Bylaws, the UAL Resolutions and final resolutions of the UAL Board or a duly authorized committee thereof, and shall have been duly delivered in accordance with the applicable definitive purchase, underwriting or similar agreement to the purchasers thereof against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 descr=""/>
                    <pic:cNvPicPr>
                      <a:picLocks noChangeAspect="1" noChangeArrowheads="1"/>
                    </pic:cNvPicPr>
                  </pic:nvPicPr>
                  <pic:blipFill>
                    <a:blip r:embed="rId42"/>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Depositary Shares covered by the Registration Statement will entitle the holders thereof to the rights specified in the Depositary Shares and the Deposit Agreement relating to the Depositary Shares when: (i) the Registration Statement (including any necessary post-effective amendments), shall have become effective under the Securities Act; (ii) a prospectus supplement with respect to the sale of such Depositary Shares and the series of Preferred Stock underlying such Depositary Shares shall have been filed with the SEC in compliance with the Securities Act and the rules and regulations thereunder; (iii) a Deposit Agreement shall have been duly authorized, executed and delivered by UAL and duly executed and delivered by the Depositary named in the Deposit Agreement; (iv) the UAL Board or a duly authorized committee thereof shall have duly adopted final resolutions in conformity with the UAL Charter, the UAL Bylaws and the UAL Resolutions establishing the designations, preferences, rights, qualifications, limitations or restrictions of such series of Preferred Stock underlying such Depositary Shares and authorizing the issuance and sale of such series of Preferred Stock; (v) UAL shall have filed with the Secretary of State of the State of Delaware a Certificate of Designation with respect to such series of Preferred Stock underlying such Depositary Shares in accordance with the DGCL and in conformity with the UAL Charter and such final resolutions; (vi) the certificates, if any, representing the series of Preferred Stock underlying such Depositary Shares shall have been duly executed, countersigned and registered and duly delivered against payment of the agreed consideration therefor or, if any shares of such series of Preferred Stock are to be issued in uncertificated form, UAL’s books shall reflect the issuance of such shares in accordance with the applicable definitive purchase, underwriting or similar agreement upon payment of the agreed consideration therefor; and (vii) the depositary receipts evidencing the Depositary Shares shall have been duly executed and delivered by the Depositary in the manner set forth in the Deposit Agreement, and shall have been duly delivered in accordance with the applicable definitive purchase, underwriting or similar agreement to the purchasers thereof against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8" descr=""/>
                    <pic:cNvPicPr>
                      <a:picLocks noChangeAspect="1" noChangeArrowheads="1"/>
                    </pic:cNvPicPr>
                  </pic:nvPicPr>
                  <pic:blipFill>
                    <a:blip r:embed="rId43"/>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Stock Purchase Contracts will constitute valid and binding obligations of UAL when: (i) the Registration Statement (including any necessary post-effective amendments), shall have become effective under the Securities Act; (ii) a prospectus supplement with respect to such Stock Purchase Contracts shall have been filed with the SEC in compliance with the Securities Act and the rules and regulations thereunder; (iii) a Stock Purchase Contract Agreement relating to such Stock Purchase Contracts shall have been duly authorized, executed and delivered by UAL and duly executed and delivered by the Stock Purchase Contract Agent named in the Stock Purchase Contract Agreement; (iv) the UAL Board or a duly authorized committee thereof shall have duly adopted final resolutions in conformity with the UAL Charter, the UAL Bylaws and the UAL Resolutions authorizing the execution, delivery, issuance and sale of such Stock Purchase Contracts; (v) if such Stock Purchase Contracts relate to the issuance and sale of shares of Common Stock, the actions described in paragraph 1 above shall have been taken; (vi) if such Stock Purchase Contracts relate to the issuance and sale of shares of Preferred Stock, the actions described in paragraph 2 above shall have been taken; and (vii) the certificates, if any, representing such Stock Purchase Contracts shall have been duly executed, countersigned and registered, all in accordance with such Stock Purchase Contract Agreement, and shall have been duly delivered to the purchasers thereof in accordance with the applicable definitive purchase, underwriting or similar agreement to the purchasers thereof against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Stock Purchase Units will constitute valid and binding obligations of UAL when: (i) the Registration Statement (including any necessary post-effective amendments), shall have become effective under the Securities Act; (ii) a prospectus supplement with respect to such Stock Purchase Units shall have been filed with the SEC in compliance with the Securities Act and the rules and regulations thereunder; (iii) a Stock Purchase Unit Agreement relating to such Stock Purchase Units shall have been duly authorized, executed and delivered by UAL and duly executed and delivered by the Stock Purchase Unit Agent named in the Stock Purchase Unit Agreement; (iv) the UAL Board or a duly authorized committee thereof shall have duly adopted final resolutions in conformity with the UAL Charter, the UAL Bylaws and the UAL Resolutions authorizing the execution, delivery, issuance and sale of such Stock Purchase Units; (v) the actions described in paragraph 6 above shall have been taken; (vi) if such Stock Purchase Units relate to the issuance and sale of UAL Debt Securities, the actions described in paragraph 3 above shall have been taken; (vii) if such Stock Purchase Units relate to the issuance and sale of shares of Preferred Stock, the actions described in paragraph 2 above shall have been taken; (viii) if such Stock Purchase Units relate to the issuance and sale of Warrants, the actions described in paragraph 9 below shall have been taken; and (ix) the certificates, if any, representing such Stock Purchase Units shall have been duly executed, countersigned and registered, all in accordance with such Stock Purchase Unit Agreement, and shall have been duly delivered to the purchasers thereof in accordance with the applicable definitive purchase, underwriting or similar agreement to the purchasers thereof against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 descr=""/>
                    <pic:cNvPicPr>
                      <a:picLocks noChangeAspect="1" noChangeArrowheads="1"/>
                    </pic:cNvPicPr>
                  </pic:nvPicPr>
                  <pic:blipFill>
                    <a:blip r:embed="rId44"/>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Subscription Rights will constitute valid and binding obligations of UAL when: (i) the Registration Statement (including any necessary post-effective amendments), shall have become effective under the Securities Act; (ii) a prospectus supplement with respect to such Subscription Rights shall have been filed with the SEC in compliance with the Securities Act and the rules and regulations thereunder; (iii) a Subscription Rights Certificate relating to such Subscription Rights shall have been duly authorized, executed and delivered by UAL; (iv) the UAL Board or a duly authorized committee thereof shall have duly adopted final resolutions in conformity with the UAL Charter, the UAL Bylaws and the UAL Resolutions authorizing the execution, delivery, issuance and sale of such Subscription Rights; (v) if such Subscription Rights are exercisable for shares of Common Stock, the actions described in paragraph 1 above shall have been taken; (vi) if such Subscription Rights are exercisable for shares of Preferred Stock, the actions described in paragraph 2 above shall have been taken; (vii) if such Subscription Rights are exercisable for Depositary Shares, the actions described in paragraph 5 above shall have been taken; (viii) if such Subscription Rights are exercisable for Warrants, the actions described in paragraph 9 below shall have been taken; and (ix) one or more Subscription Rights Certificates representing such Subscription Rights shall have been duly executed, countersigned and registered and shall have been duly delivered in accordance with the applicable definitive purchase, underwriting or similar agreement to the purchasers thereof against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Each issue of Warrants covered by the Registration Statement will constitute valid and binding obligations of UAL when: (i) the Registration Statement (including any necessary post-effective amendments), shall have become effective under the Securities Act; (ii) a prospectus supplement with respect to such issue of Warrants and Common Stock, Preferred Stock or the UAL Debt Securities issuable upon exercise of such Warrants shall have been filed with the SEC in compliance with the Securities Act and the rules and regulations thereunder; (iii) a Warrant Agreement relating to such issue of Warrants shall have been duly authorized, executed and delivered by UAL and duly executed and delivered by the Warrant Agent named in the Warrant Agreement; (iv) the UAL Board or a duly authorized committee thereof shall have duly adopted final resolutions in conformity with the UAL Charter, the UAL Bylaws and the UAL Resolutions authorizing the execution and delivery of the Warrant Agreement and the issuance and sale of such issue of Warrants; (v) if such Warrants are exercisable for shares of Common Stock, the actions described in paragraph 1 above shall have been taken; (vi) if such Warrants are exercisable for shares of Preferred Stock, the actions described in paragraph 2 above shall have been taken; (vii) if such Warrants are exercisable for UAL Debt Securities, the actions described in paragraph 3 above shall have been taken; and (viii) the certificates, if any, representing such issue of Warrants shall have been duly executed, countersigned and issued, all in accordance with such Warrant Agreement, and shall have been duly delivered in accordance with the applicable definitive purchase, underwriting or similar agreement to the purchasers thereof against payment of the agreed consideration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0" descr=""/>
                    <pic:cNvPicPr>
                      <a:picLocks noChangeAspect="1" noChangeArrowheads="1"/>
                    </pic:cNvPicPr>
                  </pic:nvPicPr>
                  <pic:blipFill>
                    <a:blip r:embed="rId45"/>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The Pass Through Certificates of each series covered by the Registration Statement will constitute validly issued beneficial interests in the assets of the applicable Trust, and the PTC Guarantees (if any) of each such series of Pass Through Certificates will constitute valid and binding obligations of UAL, in each case when: (i) the Registration Statement (including any necessary post-effective amendments), shall have become effective under the Securities Act; (ii) a prospectus supplement with respect to such series of Pass Through Certificates and the related PTC Guarantees (if any) shall have been filed with the SEC in compliance with the Securities Act and the rules and regulations thereunder; (iii) the Trust Supplement relating to such series of Pass Through Certificates and the related PTC Guarantees (if any) shall have been duly executed and delivered by United, UAL (if applicable) and the Trustee, in each case in accordance with the provisions of the United Charter, the United By-Laws, the United Resolutions, final resolutions of the United Board or a duly authorized committee thereof, as applicable, and the Pass Through Trust Agreement and, if applicable, the UAL Charter, the UAL Bylaws, the UAL Resolutions and final resolutions of the UAL Board or a duly authorized committee thereof; (iv) the terms of such series of Pass Through Certificates and the related PTC Guarantees (if any) shall have been established in accordance with the Pass Through Trust Agreement and applicable Trust Supplement; (v) all necessary corporate action shall have been taken by United to authorize the form, terms, execution, delivery, performance, issuance and sale of such series of Pass Through Certificates as contemplated by the Registration Statement, the prospectus supplement relating to such series of Pass Through Certificates and the related UAL Debt Guarantees (if any) and the Pass Through Trust Agreement and to authorize the execution, delivery and performance of a Trust Supplement establishing the form and terms of such series of Pass Through Certificates as contemplated by the Pass Through Trust Agreement; (vi) all necessary corporate action shall have been taken by UAL to authorize the terms and issuance of its PTC Guarantee (if any) related to such series of Pass Through Certificates as contemplated by the Registration Statement, the prospectus supplement relating to such series of Pass Through Certificates and the related PTC Guarantees (if any) and the Pass Through Trust Agreement and applicable Trust Supplement; and (vii) the Pass Through Certificates and the related PTC Guarantees (if any) shall have been duly executed and authenticated and issued in accordance with the Pass Through Trust Agreement and applicable Trust Supplement, and shall have been duly delivered in accordance with the applicable definitive purchase, underwriting or similar agreement to the purchasers thereof against payment of the agreed consideration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holders of the Pass Through Certificates may be obligated, pursuant to the Pass Through Trust Agreement, to (x) pay taxes or governmental charges arising from transfers or exchanges of Pass Through Certificates and (y) provide security and indemnity in connection with the requests of, or directions to, the Trustee to exercise its rights and powers under the Pass Through Trust Agreement and applicable Trust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 descr=""/>
                    <pic:cNvPicPr>
                      <a:picLocks noChangeAspect="1" noChangeArrowheads="1"/>
                    </pic:cNvPicPr>
                  </pic:nvPicPr>
                  <pic:blipFill>
                    <a:blip r:embed="rId46"/>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are subject to bankruptcy, insolvency, reorganization, moratorium, fraudulent conveyance, fraudulent transfer and other similar laws relating to or affecting creditors’ rights generally and to general equitable principles (regardless of whether considered in a proceeding in equity or at law), including concepts of commercial reasonableness, good faith and fair dealing and the possible unavailability of specific performance or injunctive relief, in each case, whether by operation of law, contract, judicial or regulatory action or otherwise. Our opinions are also subject to (i) provisions of law which may require that a judgment for money damages rendered by a court in the United States of America be expressed only in United States dollars, (ii) requirements that a claim with respect to any Debt Securities or other obligations that are denominated or payable other than in United States dollars (or a judgment denominated or payable other than in United States dollars in respect of such claim) be converted into United States dollars at a rate of exchange prevailing on a date determined pursuant to applicable law and (iii) governmental authority to limit, delay or prohibit the making of payments outside of the United States of America or in a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letter, we have assumed that, at the time of the issuance, sale and delivery of any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applicable Securities being offered will be issued and sold as contemplated in the Registration Statement and the prospectus supplement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execution, delivery and performance by UAL and United, as applicable, of any supplemental indenture to the Indenture, the Deposit Agreement, the Stock Purchase Contract Agreement, the Stock Purchase Unit Agreement, the Subscription Rights Certificate, the Warrant Agreement and any Trust Supplement to the Pass Through Trust Agreement, as applicable, and the performance by UAL and United, as applicable, of the Indenture and the Pass Through Trust Agreement, and the issuance, sale and delivery of the applicable Securities will not (A) in the case of UAL, contravene or violate the UAL Charter or UAL Bylaws or, in the case of United, contravene or violate the United Charter or United By-Laws, (B) violate any law, rule or regulation applicable to UAL or United, as applicable, (C) result in a default under or breach of any agreement or instrument binding upon UAL or United, as applicable, or any order, judgment or decree of any court or governmental authority applicable to UAL or United, as applicable, or (D)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 descr=""/>
                    <pic:cNvPicPr>
                      <a:picLocks noChangeAspect="1" noChangeArrowheads="1"/>
                    </pic:cNvPicPr>
                  </pic:nvPicPr>
                  <pic:blipFill>
                    <a:blip r:embed="rId47"/>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United Debt Guarantees, the execution, delivery and performance by United of any supplemental indenture establishing the form and terms of the relevant series of UAL Debt Securities and of any Notation of United Debt Guarantee associated with the relevant series of UAL Debt Securities and the performance by United of the Indenture (including any relevant United Debt Guarantee), as the case may be, will not (A) contravene or violate the United Charter or United By-Laws, or any law, rule or regulation applicable to United, (B) result in a default under or breach of any agreement or instrument binding upon United or any order, judgment or decree of any court or governmental authority applicable to United or (C)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 the case of UAL Debt Guarantees, the execution, delivery and performance by UAL of any supplemental indenture establishing the form and terms of the relevant series of United Debt Securities and of any Notation of UAL Debt Guarantee associated with the relevant series of United Debt Securities and the performance by UAL of the Indenture (including any relevant UAL Debt Guarantee), as the case may be, will not (A) contravene or violate the UAL Charter or UAL Bylaws, or any law, rule or regulation applicable to UAL, (B) result in a default under or breach of any agreement or instrument binding upon UAL or any order, judgment or decree of any court or governmental authority applicable to UAL or (C)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authorization thereof by UAL and United, as applicable, will not have been modified or rescinded, and there will not have occurred any change in law affecting the validity, legally binding character or enforceability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Indenture will not have been modified or amended (other than by a supplemental indenture or officers’ certificate establishing the form and terms of the Debt Securities of any series and, if applicable, creating the form and terms of any related Debt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Pass Through Trust Agreement will not have been modified or amended (other than by a Trust Supplement establishing the form and terms of the Pass Through Certificates of any series and, if applicable, creating the form and terms of any related PTC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3" descr=""/>
                    <pic:cNvPicPr>
                      <a:picLocks noChangeAspect="1" noChangeArrowheads="1"/>
                    </pic:cNvPicPr>
                  </pic:nvPicPr>
                  <pic:blipFill>
                    <a:blip r:embed="rId48"/>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in the case of UAL, the UAL Charter, the UAL Bylaws and the UAL Resolutions, each as currently in effect, will not have been modified or amended and will be in full force and effect, and, in the case of United, the United Charter, the United By-Laws and the United Resolutions, each as currently in effect, will not have been modified or amended and will be in full force and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UAL will have a number of authorized and unissued shares of Common Stock and Preferred Stock sufficient to provide for the issuance of all shares of Common Stock and Preferred Stock issued pursuant to the transactions contemplated above and issuable upon exercise of any Subscription Rights, Stock Purchase Contracts, Stock Purchase Units or Warrants,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assumed that each supplemental indenture to the Indenture, each series of Debt Securities (and any related Debt Guarantees), each Deposit Agreement, each Depositary Share, each Stock Purchase Contract and related Stock Purchase Contract Agreement, each Stock Purchase Unit and related Stock Purchase Unit Agreement, each Subscription Right and related Subscription Rights Certificate, each Warrant and related Warrant Agreement, each Trust Supplement to the Pass Through Trust Agreement and each series of Pass Through Certificates (and any related PTC Guarantees) will be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instrument or agreement referred to in or otherwise relevant to the opinions set forth herein (each, an “</w:t>
      </w:r>
      <w:r>
        <w:rPr>
          <w:rFonts w:ascii="Times New Roman;Times;Serif" w:hAnsi="Times New Roman;Times;Serif"/>
          <w:b w:val="false"/>
          <w:i w:val="false"/>
          <w:caps w:val="false"/>
          <w:smallCaps w:val="false"/>
          <w:sz w:val="20"/>
          <w:u w:val="single"/>
        </w:rPr>
        <w:t>Instrument</w:t>
      </w:r>
      <w:r>
        <w:rPr>
          <w:rFonts w:ascii="Times New Roman;Times;Serif" w:hAnsi="Times New Roman;Times;Serif"/>
          <w:b w:val="false"/>
          <w:i w:val="false"/>
          <w:caps w:val="false"/>
          <w:smallCaps w:val="false"/>
          <w:sz w:val="20"/>
        </w:rPr>
        <w:t xml:space="preserve">”), we have assumed, to the extent relevant to the opinions set forth herein, that (i) each party to such Instrument (if not a natural person) was duly organized or formed, as the case may be, and at all relevant times was, is and will be validly existing and in good standing under the laws of its jurisdiction of organization or formation, as the case may be, and at all relevant times had, has and will have full right, power and authority to execute, deliver and perform its obligations under such Instrument; (ii) such Instrument has been duly authorized, executed and delivered by each party thereto; and (iii) such Instrument at all relevant times was, is and will be a valid, binding and enforceable agreement or obligation, as the case may be, of, each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we make no assumption in clause (iii) insofar as such assumption relates to UAL or United and is expressly covered by our opinions set forth herein.  We have also assumed that no event has occurred or will occur that would cause (x) the release of the applicable Debt Guarantee by United or UAL, as the case may be, under the terms of the Indenture and any applicable supplemental indenture thereto or (y) the release of the PTC Guarantee under the terms of the Pass Through Trust Agreement and applicable Trust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495425" cy="457200"/>
            <wp:effectExtent l="0" t="0" r="0" b="0"/>
            <wp:docPr id="16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4" descr=""/>
                    <pic:cNvPicPr>
                      <a:picLocks noChangeAspect="1" noChangeArrowheads="1"/>
                    </pic:cNvPicPr>
                  </pic:nvPicPr>
                  <pic:blipFill>
                    <a:blip r:embed="rId49"/>
                    <a:stretch>
                      <a:fillRect/>
                    </a:stretch>
                  </pic:blipFill>
                  <pic:spPr bwMode="auto">
                    <a:xfrm>
                      <a:off x="0" y="0"/>
                      <a:ext cx="14954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limited to the DGCL and the laws of the State of New York (excluding the securities laws of the State of New York). We express no opinion as to the laws, rules or regulations of any other jurisdiction, including, without limitation, the federal laws of the United States of America or any state securities or blue sky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75"/>
      </w:tblGrid>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Very truly yours, </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Sidley Austin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3" w:name="tm2627635d2_ex23-1.htm"/>
      <w:bookmarkStart w:id="34" w:name="kstm2627635d2_ex231"/>
      <w:bookmarkEnd w:id="33"/>
      <w:bookmarkEnd w:id="3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23.1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S-3ASR) and related Prospectus of United Airlines Holdings, Inc. for the registration of Common Stock, Preferred Stock, Debt Securities, Guarantees of Debt Securities, Depositary Shares, Stock Purchase Contracts, Stock Purchase Units, Subscription Rights, and Warrants, and of United Airlines, Inc. for the registration of Debt Securities and Guarantees of Debt Securities, and to the incorporation by reference therein of our reports dated February 12, 2026, with respect to the consolidated financial statements of United Airlines Holdings, Inc. and United Airlines, Inc., and the effectiveness of internal control over financial reporting of United Airlines Holdings, Inc. included in their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35" w:name="tm2627635d2_ex23-2.htm"/>
      <w:bookmarkStart w:id="36" w:name="kstm2627635d2_ex232"/>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23.2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S-3ASR) and related Prospectus of United Airlines, Inc. for the registration of Pass Through Certificates, and to the incorporation by reference therein of our reports dated February 12, 2026 with respect to the consolidated financial statements of United Airlines Holdings, Inc. and United Airlines, Inc., and the effectiveness of internal control over financial reporting of United Airlines Holdings, Inc., included in their Annual Report (Form 10- 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7" w:name="tm2627635d2_ex25-1.htm"/>
      <w:bookmarkStart w:id="38" w:name="kstm2627635d2_ex251"/>
      <w:bookmarkEnd w:id="37"/>
      <w:bookmarkEnd w:id="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pBdr>
          <w:bottom w:val="double" w:sz="2" w:space="1" w:color="000000"/>
        </w:pBdr>
        <w:bidi w:val="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w:t>
        <w:br/>
        <w:t>UNDER THE TRUST INDENTURE ACT OF 1939 OF A</w:t>
        <w:br/>
        <w:t>CORPORATION DESIGNATED TO ACT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IF AN APPLICATION TO DETERMINE</w:t>
        <w:br/>
        <w:t>ELIGIBILITY OF A TRUSTEE PURSUANT TO</w:t>
        <w:br/>
        <w:t>SECTION 305(b)(2)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w:t>
        <w:br/>
        <w:t>TRUST COMPANY, N.A.</w:t>
        <w:b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10" w:type="dxa"/>
        <w:tblLayout w:type="fixed"/>
        <w:tblCellMar>
          <w:top w:w="28" w:type="dxa"/>
          <w:left w:w="108" w:type="dxa"/>
          <w:bottom w:w="28"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(Jurisdiction of incorporation</w:t>
              <w:br/>
              <w:t>if not a U.S. national bank)</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95-3571558</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bottom w:w="10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South Hope Street</w:t>
              <w:br/>
              <w:t>Suite 2525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1505" w:type="dxa"/>
            <w:tcBorders>
              <w:bottom w:val="single" w:sz="8" w:space="0" w:color="000000"/>
              <w:right w:val="single" w:sz="8" w:space="0" w:color="000000"/>
            </w:tcBorders>
            <w:tcMar>
              <w:top w:w="0" w:type="dxa"/>
              <w:left w:w="0" w:type="dxa"/>
              <w:bottom w:w="108" w:type="dxa"/>
            </w:tcMar>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90071</w:t>
              <w:br/>
              <w:t>(Zip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Holdings, Inc.</w:t>
        <w:br/>
        <w:t>(Exact name of obligor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10" w:type="dxa"/>
        <w:tblLayout w:type="fixed"/>
        <w:tblCellMar>
          <w:top w:w="28" w:type="dxa"/>
          <w:left w:w="108" w:type="dxa"/>
          <w:bottom w:w="28"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36-2675207</w:t>
              <w:br/>
              <w:t>(I.R.S. employer</w:t>
              <w:br/>
              <w:t>identification no.)</w:t>
            </w:r>
          </w:p>
          <w:p>
            <w:pPr>
              <w:pStyle w:val="TableContents"/>
              <w:bidi w:val="0"/>
              <w:spacing w:before="0" w:after="283"/>
              <w:jc w:val="left"/>
              <w:rPr/>
            </w:pPr>
            <w:r>
              <w:rPr/>
              <w:t> </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 S. Wacker Drive</w:t>
              <w:br/>
              <w:t>Chicago, Illinois</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60606</w:t>
              <w:br/>
              <w:t>(Zip code)</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Airlines, Inc.</w:t>
        <w:b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20" w:type="dxa"/>
        <w:jc w:val="left"/>
        <w:tblInd w:w="-10" w:type="dxa"/>
        <w:tblLayout w:type="fixed"/>
        <w:tblCellMar>
          <w:top w:w="28" w:type="dxa"/>
          <w:left w:w="108" w:type="dxa"/>
          <w:bottom w:w="108" w:type="dxa"/>
          <w:right w:w="108" w:type="dxa"/>
        </w:tblCellMar>
      </w:tblPr>
      <w:tblGrid>
        <w:gridCol w:w="3215"/>
        <w:gridCol w:w="1505"/>
      </w:tblGrid>
      <w:tr>
        <w:trPr/>
        <w:tc>
          <w:tcPr>
            <w:tcW w:w="321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Delaware</w:t>
              <w:br/>
              <w:t>(State or other jurisdiction of</w:t>
              <w:br/>
              <w:t>incorporation or organization)</w:t>
            </w:r>
          </w:p>
        </w:tc>
        <w:tc>
          <w:tcPr>
            <w:tcW w:w="15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74-2099724</w:t>
              <w:br/>
              <w:t>(I.R.S. employer</w:t>
              <w:br/>
              <w:t>identification no.)</w:t>
            </w:r>
          </w:p>
        </w:tc>
      </w:tr>
      <w:tr>
        <w:trPr/>
        <w:tc>
          <w:tcPr>
            <w:tcW w:w="321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 S. Wacker Drive</w:t>
              <w:br/>
              <w:t>Chicago, Illinois</w:t>
              <w:br/>
              <w:t>(Address of principal executive offices)</w:t>
            </w:r>
          </w:p>
        </w:tc>
        <w:tc>
          <w:tcPr>
            <w:tcW w:w="15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br/>
              <w:t>60606</w:t>
              <w:b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Securities</w:t>
        <w:br/>
        <w:t>and Guarantees of Debt Securities</w:t>
        <w:br/>
        <w:t>(Title of the indenture securities)</w:t>
      </w:r>
    </w:p>
    <w:p>
      <w:pPr>
        <w:pStyle w:val="TextBody"/>
        <w:pBdr>
          <w:bottom w:val="double" w:sz="2"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170"/>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sz w:val="20"/>
              </w:rPr>
            </w:pPr>
            <w:r>
              <w:rPr>
                <w:b/>
                <w:sz w:val="20"/>
              </w:rPr>
              <w:t>1.</w:t>
            </w:r>
          </w:p>
        </w:tc>
        <w:tc>
          <w:tcPr>
            <w:tcW w:w="7385" w:type="dxa"/>
            <w:tcBorders/>
            <w:vAlign w:val="center"/>
          </w:tcPr>
          <w:p>
            <w:pPr>
              <w:pStyle w:val="TableContents"/>
              <w:bidi w:val="0"/>
              <w:spacing w:before="0" w:after="283"/>
              <w:jc w:val="both"/>
              <w:rPr>
                <w:b/>
              </w:rPr>
            </w:pPr>
            <w:r>
              <w:rPr>
                <w:b/>
              </w:rPr>
              <w:t>General information. Furnish the following information as to the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336"/>
        <w:gridCol w:w="9826"/>
      </w:tblGrid>
      <w:tr>
        <w:trPr/>
        <w:tc>
          <w:tcPr>
            <w:tcW w:w="43"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b/>
              </w:rPr>
            </w:pPr>
            <w:r>
              <w:rPr>
                <w:b/>
              </w:rPr>
              <w:t>(a)</w:t>
            </w:r>
          </w:p>
        </w:tc>
        <w:tc>
          <w:tcPr>
            <w:tcW w:w="9826" w:type="dxa"/>
            <w:tcBorders/>
            <w:vAlign w:val="center"/>
          </w:tcPr>
          <w:p>
            <w:pPr>
              <w:pStyle w:val="TableContents"/>
              <w:bidi w:val="0"/>
              <w:spacing w:before="0" w:after="283"/>
              <w:jc w:val="both"/>
              <w:rPr>
                <w:b/>
              </w:rPr>
            </w:pPr>
            <w:r>
              <w:rPr>
                <w:b/>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108" w:type="dxa"/>
          <w:left w:w="0" w:type="dxa"/>
          <w:bottom w:w="108" w:type="dxa"/>
          <w:right w:w="0" w:type="dxa"/>
        </w:tblCellMar>
      </w:tblPr>
      <w:tblGrid>
        <w:gridCol w:w="6830"/>
        <w:gridCol w:w="2405"/>
      </w:tblGrid>
      <w:tr>
        <w:trPr/>
        <w:tc>
          <w:tcPr>
            <w:tcW w:w="6830" w:type="dxa"/>
            <w:tcBorders>
              <w:top w:val="single" w:sz="2" w:space="0" w:color="000000"/>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w:t>
            </w:r>
          </w:p>
        </w:tc>
        <w:tc>
          <w:tcPr>
            <w:tcW w:w="2405" w:type="dxa"/>
            <w:tcBorders>
              <w:top w:val="single" w:sz="2" w:space="0" w:color="000000"/>
              <w:bottom w:val="single" w:sz="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w:t>
            </w:r>
          </w:p>
        </w:tc>
      </w:tr>
      <w:tr>
        <w:trPr/>
        <w:tc>
          <w:tcPr>
            <w:tcW w:w="6830" w:type="dxa"/>
            <w:tcBorders/>
            <w:tcMar>
              <w:top w:w="0" w:type="dxa"/>
              <w:bottom w:w="0" w:type="dxa"/>
            </w:tcMar>
            <w:vAlign w:val="center"/>
          </w:tcPr>
          <w:p>
            <w:pPr>
              <w:pStyle w:val="TableContents"/>
              <w:bidi w:val="0"/>
              <w:spacing w:before="0" w:after="283"/>
              <w:jc w:val="left"/>
              <w:rPr/>
            </w:pPr>
            <w:r>
              <w:rPr/>
              <w:t>Comptroller of the Currency United States Department of the Treasury  </w:t>
            </w:r>
          </w:p>
        </w:tc>
        <w:tc>
          <w:tcPr>
            <w:tcW w:w="24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 20219</w:t>
            </w:r>
          </w:p>
        </w:tc>
      </w:tr>
      <w:tr>
        <w:trPr/>
        <w:tc>
          <w:tcPr>
            <w:tcW w:w="6830"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Reserve Bank</w:t>
            </w:r>
          </w:p>
        </w:tc>
        <w:tc>
          <w:tcPr>
            <w:tcW w:w="2405" w:type="dxa"/>
            <w:tcBorders/>
            <w:tcMar>
              <w:top w:w="0" w:type="dxa"/>
              <w:bottom w:w="0" w:type="dxa"/>
            </w:tcMar>
            <w:vAlign w:val="center"/>
          </w:tcPr>
          <w:p>
            <w:pPr>
              <w:pStyle w:val="TableContents"/>
              <w:bidi w:val="0"/>
              <w:spacing w:before="0" w:after="283"/>
              <w:jc w:val="left"/>
              <w:rPr/>
            </w:pPr>
            <w:r>
              <w:rPr>
                <w:sz w:val="20"/>
              </w:rPr>
              <w:t>San Francisco</w:t>
            </w:r>
            <w:r>
              <w:rPr/>
              <w:t>, CA 94105  </w:t>
            </w:r>
          </w:p>
        </w:tc>
      </w:tr>
      <w:tr>
        <w:trPr/>
        <w:tc>
          <w:tcPr>
            <w:tcW w:w="6830" w:type="dxa"/>
            <w:tcBorders/>
            <w:tcMar>
              <w:top w:w="0" w:type="dxa"/>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Deposit Insurance Corporation</w:t>
            </w:r>
          </w:p>
        </w:tc>
        <w:tc>
          <w:tcPr>
            <w:tcW w:w="2405" w:type="dxa"/>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 20429</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487"/>
        <w:gridCol w:w="9658"/>
      </w:tblGrid>
      <w:tr>
        <w:trPr/>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b/>
              </w:rPr>
            </w:pPr>
            <w:r>
              <w:rPr>
                <w:b/>
              </w:rPr>
              <w:t>(b)</w:t>
            </w:r>
          </w:p>
        </w:tc>
        <w:tc>
          <w:tcPr>
            <w:tcW w:w="9658" w:type="dxa"/>
            <w:tcBorders/>
            <w:vAlign w:val="center"/>
          </w:tcPr>
          <w:p>
            <w:pPr>
              <w:pStyle w:val="TableContents"/>
              <w:bidi w:val="0"/>
              <w:spacing w:before="0" w:after="283"/>
              <w:jc w:val="both"/>
              <w:rPr>
                <w:b/>
              </w:rPr>
            </w:pPr>
            <w:r>
              <w:rPr>
                <w:b/>
              </w:rPr>
              <w:t>Whether it is authorized to exercise corporate trust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8"/>
        <w:gridCol w:w="731"/>
        <w:gridCol w:w="9336"/>
      </w:tblGrid>
      <w:tr>
        <w:trPr/>
        <w:tc>
          <w:tcPr>
            <w:tcW w:w="13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b/>
              </w:rPr>
            </w:pPr>
            <w:r>
              <w:rPr>
                <w:b/>
              </w:rPr>
              <w:t>2.</w:t>
            </w:r>
          </w:p>
        </w:tc>
        <w:tc>
          <w:tcPr>
            <w:tcW w:w="9336" w:type="dxa"/>
            <w:tcBorders/>
            <w:vAlign w:val="center"/>
          </w:tcPr>
          <w:p>
            <w:pPr>
              <w:pStyle w:val="TableContents"/>
              <w:bidi w:val="0"/>
              <w:spacing w:before="0" w:after="283"/>
              <w:jc w:val="both"/>
              <w:rPr>
                <w:b/>
              </w:rPr>
            </w:pPr>
            <w:r>
              <w:rPr>
                <w:b/>
              </w:rPr>
              <w:t>Affiliations with Obligor.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obligor is an affiliate of the trustee, describe each such affiliation.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1634"/>
        <w:gridCol w:w="8377"/>
      </w:tblGrid>
      <w:tr>
        <w:trPr/>
        <w:tc>
          <w:tcPr>
            <w:tcW w:w="194"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b/>
              </w:rPr>
            </w:pPr>
            <w:r>
              <w:rPr>
                <w:b/>
              </w:rPr>
              <w:t>16.</w:t>
            </w:r>
          </w:p>
        </w:tc>
        <w:tc>
          <w:tcPr>
            <w:tcW w:w="8377" w:type="dxa"/>
            <w:tcBorders/>
            <w:vAlign w:val="center"/>
          </w:tcPr>
          <w:p>
            <w:pPr>
              <w:pStyle w:val="TableContents"/>
              <w:bidi w:val="0"/>
              <w:spacing w:before="0" w:after="283"/>
              <w:jc w:val="both"/>
              <w:rPr>
                <w:b/>
              </w:rPr>
            </w:pPr>
            <w:r>
              <w:rPr>
                <w:b/>
              </w:rPr>
              <w:t>List of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identified in parentheses below, on file with the Commission, are incorporated herein by reference as an exhibit hereto, pursuant to Rule 7a-29 under the Trust Indenture Act of 1939 (the "Act").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8"/>
        <w:gridCol w:w="10010"/>
      </w:tblGrid>
      <w:tr>
        <w:trPr/>
        <w:tc>
          <w:tcPr>
            <w:tcW w:w="3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1.</w:t>
            </w:r>
          </w:p>
        </w:tc>
        <w:tc>
          <w:tcPr>
            <w:tcW w:w="10010" w:type="dxa"/>
            <w:tcBorders/>
            <w:vAlign w:val="center"/>
          </w:tcPr>
          <w:p>
            <w:pPr>
              <w:pStyle w:val="TableContents"/>
              <w:bidi w:val="0"/>
              <w:spacing w:before="0" w:after="283"/>
              <w:jc w:val="both"/>
              <w:rPr/>
            </w:pPr>
            <w:r>
              <w:rPr/>
              <w:t>A copy of the articles of association of The Bank of New York Mellon Trust Company, N.A., formerly known as The Bank of New York Trust Company, N.A. (Exhibit 1 to Form T-1 filed with Registration Statement No. 333-121948 and Exhibit 1 to Form T-1 filed with Registration Statement No. 333-152875).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2.</w:t>
            </w:r>
          </w:p>
        </w:tc>
        <w:tc>
          <w:tcPr>
            <w:tcW w:w="9987" w:type="dxa"/>
            <w:tcBorders/>
            <w:vAlign w:val="center"/>
          </w:tcPr>
          <w:p>
            <w:pPr>
              <w:pStyle w:val="TableContents"/>
              <w:bidi w:val="0"/>
              <w:spacing w:before="0" w:after="283"/>
              <w:jc w:val="both"/>
              <w:rPr/>
            </w:pPr>
            <w:r>
              <w:rPr/>
              <w:t>A copy of certificate of authority of the trustee to commence business. (Exhibit 2 to Form T-1 filed with Registration Statement No. 333-121948).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0"/>
        <w:gridCol w:w="9988"/>
      </w:tblGrid>
      <w:tr>
        <w:trPr/>
        <w:tc>
          <w:tcPr>
            <w:tcW w:w="3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3.</w:t>
            </w:r>
          </w:p>
        </w:tc>
        <w:tc>
          <w:tcPr>
            <w:tcW w:w="9988" w:type="dxa"/>
            <w:tcBorders/>
            <w:vAlign w:val="center"/>
          </w:tcPr>
          <w:p>
            <w:pPr>
              <w:pStyle w:val="TableContents"/>
              <w:bidi w:val="0"/>
              <w:spacing w:before="0" w:after="283"/>
              <w:jc w:val="both"/>
              <w:rPr/>
            </w:pPr>
            <w:r>
              <w:rPr/>
              <w:t>A copy of the authorization of the trustee to exercise corporate trust powers (Exhibit 3 to Form T-1 filed with Registration Statement No. 333-152875).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283"/>
              <w:jc w:val="both"/>
              <w:rPr/>
            </w:pPr>
            <w:r>
              <w:rPr/>
              <w:t>A copy of the existing by-laws of the trustee (Exhibit 4 to Form T-1 filed with Registration Statement No. 333-229762).</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6.</w:t>
            </w:r>
          </w:p>
        </w:tc>
        <w:tc>
          <w:tcPr>
            <w:tcW w:w="9985" w:type="dxa"/>
            <w:tcBorders/>
            <w:vAlign w:val="center"/>
          </w:tcPr>
          <w:p>
            <w:pPr>
              <w:pStyle w:val="TableContents"/>
              <w:bidi w:val="0"/>
              <w:spacing w:before="0" w:after="283"/>
              <w:jc w:val="both"/>
              <w:rPr/>
            </w:pPr>
            <w:r>
              <w:rPr/>
              <w:t>The consent of the trustee required by Section 321(b) of the Act (Exhibit 6 to Form T-1 filed with Registration Statement No. 333-152875).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2"/>
        <w:gridCol w:w="9986"/>
      </w:tblGrid>
      <w:tr>
        <w:trPr/>
        <w:tc>
          <w:tcPr>
            <w:tcW w:w="3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7.</w:t>
            </w:r>
          </w:p>
        </w:tc>
        <w:tc>
          <w:tcPr>
            <w:tcW w:w="9986" w:type="dxa"/>
            <w:tcBorders/>
            <w:vAlign w:val="center"/>
          </w:tcPr>
          <w:p>
            <w:pPr>
              <w:pStyle w:val="TableContents"/>
              <w:bidi w:val="0"/>
              <w:spacing w:before="0" w:after="283"/>
              <w:jc w:val="both"/>
              <w:rPr/>
            </w:pPr>
            <w:r>
              <w:rPr/>
              <w:t>A copy of the latest report of condition of the Trustee published pursuant to law or to the requirements of its supervising or examining authority.</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Houston, and State of Texas, on the 19th day of October, 2026.</w:t>
      </w:r>
    </w:p>
    <w:p>
      <w:pPr>
        <w:pStyle w:val="TextBody"/>
        <w:bidi w:val="0"/>
        <w:spacing w:before="0" w:after="0"/>
        <w:ind w:left="0" w:right="0" w:hanging="0"/>
        <w:jc w:val="left"/>
        <w:rPr>
          <w:caps w:val="false"/>
          <w:smallCaps w:val="false"/>
        </w:rPr>
      </w:pPr>
      <w:r>
        <w:rPr>
          <w:caps w:val="false"/>
          <w:smallCaps w:val="false"/>
        </w:rPr>
        <w:t> </w:t>
      </w:r>
    </w:p>
    <w:tbl>
      <w:tblPr>
        <w:tblW w:w="5388" w:type="dxa"/>
        <w:jc w:val="left"/>
        <w:tblInd w:w="0" w:type="dxa"/>
        <w:tblLayout w:type="fixed"/>
        <w:tblCellMar>
          <w:top w:w="0" w:type="dxa"/>
          <w:left w:w="0" w:type="dxa"/>
          <w:bottom w:w="0" w:type="dxa"/>
          <w:right w:w="0" w:type="dxa"/>
        </w:tblCellMar>
      </w:tblPr>
      <w:tblGrid>
        <w:gridCol w:w="75"/>
        <w:gridCol w:w="901"/>
        <w:gridCol w:w="1683"/>
        <w:gridCol w:w="2729"/>
      </w:tblGrid>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tc>
      </w:tr>
      <w:tr>
        <w:trPr/>
        <w:tc>
          <w:tcPr>
            <w:tcW w:w="75" w:type="dxa"/>
            <w:tcBorders/>
            <w:vAlign w:val="center"/>
          </w:tcPr>
          <w:p>
            <w:pPr>
              <w:pStyle w:val="TableContents"/>
              <w:bidi w:val="0"/>
              <w:spacing w:before="0" w:after="283"/>
              <w:jc w:val="left"/>
              <w:rPr/>
            </w:pPr>
            <w:r>
              <w:rPr/>
              <w:t> </w:t>
            </w:r>
          </w:p>
        </w:tc>
        <w:tc>
          <w:tcPr>
            <w:tcW w:w="5313"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412" w:type="dxa"/>
            <w:gridSpan w:val="2"/>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Peggy Guel</w:t>
            </w:r>
          </w:p>
        </w:tc>
      </w:tr>
      <w:tr>
        <w:trPr/>
        <w:tc>
          <w:tcPr>
            <w:tcW w:w="7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left"/>
              <w:rPr>
                <w:caps w:val="false"/>
                <w:smallCaps w:val="false"/>
              </w:rPr>
            </w:pPr>
            <w:r>
              <w:rPr>
                <w:caps w:val="false"/>
                <w:smallCaps w:val="false"/>
              </w:rPr>
              <w:t> </w:t>
            </w:r>
          </w:p>
        </w:tc>
        <w:tc>
          <w:tcPr>
            <w:tcW w:w="1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7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Peggy Guel</w:t>
            </w:r>
          </w:p>
        </w:tc>
      </w:tr>
      <w:tr>
        <w:trPr/>
        <w:tc>
          <w:tcPr>
            <w:tcW w:w="75" w:type="dxa"/>
            <w:tcBorders/>
            <w:vAlign w:val="center"/>
          </w:tcPr>
          <w:p>
            <w:pPr>
              <w:pStyle w:val="TableContents"/>
              <w:bidi w:val="0"/>
              <w:spacing w:before="0" w:after="283"/>
              <w:jc w:val="left"/>
              <w:rPr/>
            </w:pPr>
            <w:r>
              <w:rPr/>
              <w:t> </w:t>
            </w:r>
          </w:p>
        </w:tc>
        <w:tc>
          <w:tcPr>
            <w:tcW w:w="901" w:type="dxa"/>
            <w:tcBorders/>
            <w:vAlign w:val="center"/>
          </w:tcPr>
          <w:p>
            <w:pPr>
              <w:pStyle w:val="TableContents"/>
              <w:bidi w:val="0"/>
              <w:spacing w:before="0" w:after="283"/>
              <w:jc w:val="left"/>
              <w:rPr>
                <w:caps w:val="false"/>
                <w:smallCaps w:val="false"/>
              </w:rPr>
            </w:pPr>
            <w:r>
              <w:rPr>
                <w:caps w:val="false"/>
                <w:smallCaps w:val="false"/>
              </w:rPr>
              <w:t> </w:t>
            </w:r>
          </w:p>
        </w:tc>
        <w:tc>
          <w:tcPr>
            <w:tcW w:w="16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27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right"/>
        <w:rPr>
          <w:b/>
        </w:rPr>
      </w:pPr>
      <w:r>
        <w:rPr>
          <w:b/>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Consolidated Report of Condition of</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 OF NEW YORK MELLON TRUST COMPANY, 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333 South Hope Street, Suite 2525, Los Angeles, CA 90071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June 30, 2026, published in accordance with Federal regulatory authority instructions.</w:t>
      </w:r>
    </w:p>
    <w:p>
      <w:pPr>
        <w:pStyle w:val="TextBody"/>
        <w:bidi w:val="0"/>
        <w:spacing w:before="0" w:after="0"/>
        <w:ind w:left="0" w:right="0" w:hanging="0"/>
        <w:jc w:val="left"/>
        <w:rPr>
          <w:caps w:val="false"/>
          <w:smallCaps w:val="false"/>
        </w:rPr>
      </w:pPr>
      <w:r>
        <w:rPr>
          <w:caps w:val="false"/>
          <w:smallCaps w:val="false"/>
        </w:rPr>
        <w:t> </w:t>
      </w:r>
    </w:p>
    <w:tbl>
      <w:tblPr>
        <w:tblW w:w="7434" w:type="dxa"/>
        <w:jc w:val="left"/>
        <w:tblInd w:w="0" w:type="dxa"/>
        <w:tblLayout w:type="fixed"/>
        <w:tblCellMar>
          <w:top w:w="0" w:type="dxa"/>
          <w:left w:w="0" w:type="dxa"/>
          <w:bottom w:w="0" w:type="dxa"/>
          <w:right w:w="0" w:type="dxa"/>
        </w:tblCellMar>
      </w:tblPr>
      <w:tblGrid>
        <w:gridCol w:w="6035"/>
        <w:gridCol w:w="60"/>
        <w:gridCol w:w="163"/>
        <w:gridCol w:w="1101"/>
        <w:gridCol w:w="75"/>
      </w:tblGrid>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 amounts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 balances and currency and coin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 balances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265,675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Held-to-maturity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Available-for-sale debt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with readily determinable fair values not held for trading</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and securities purchased under agreements to resell:</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110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in domestic 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purchased under agreements to resell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 financing receivables: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Allowance for credit losses on loans and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investment, net of allowance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Premises and fixed assets (including right-of-use assets)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real estate owned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unconsolidated subsidiaries and associated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and indirect investments in real estate ventures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856,313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121,260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0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1,372,597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200"/>
        <w:gridCol w:w="60"/>
        <w:gridCol w:w="60"/>
        <w:gridCol w:w="845"/>
        <w:gridCol w:w="75"/>
      </w:tblGrid>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domestic offices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Noninterest-bearing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2,233</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Interest-bearing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and securities sold under agreements to repurchase: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in domestic offices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sold under agreements to repurchase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mortgage indebtedness)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Subordinated notes and debentures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265,648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Perpetual preferred stock and related surplus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 (exclude all surplus related to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equity capital components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available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bank equity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1,106,949</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(minority) interests in consolidated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0</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1,106,949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equity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1,372,597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Natalie Bobnar, CFO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1815" w:type="dxa"/>
        <w:jc w:val="left"/>
        <w:tblInd w:w="0" w:type="dxa"/>
        <w:tblLayout w:type="fixed"/>
        <w:tblCellMar>
          <w:top w:w="0" w:type="dxa"/>
          <w:left w:w="0" w:type="dxa"/>
          <w:bottom w:w="0" w:type="dxa"/>
          <w:right w:w="0" w:type="dxa"/>
        </w:tblCellMar>
      </w:tblPr>
      <w:tblGrid>
        <w:gridCol w:w="75"/>
        <w:gridCol w:w="1250"/>
        <w:gridCol w:w="80"/>
        <w:gridCol w:w="410"/>
      </w:tblGrid>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Natalie Bobnar</w:t>
            </w:r>
          </w:p>
        </w:tc>
        <w:tc>
          <w:tcPr>
            <w:tcW w:w="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pStyle w:val="TextBody"/>
        <w:bidi w:val="0"/>
        <w:spacing w:before="0" w:after="0"/>
        <w:ind w:left="0" w:right="0" w:hanging="0"/>
        <w:jc w:val="left"/>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75"/>
        <w:gridCol w:w="3200"/>
        <w:gridCol w:w="125"/>
        <w:gridCol w:w="1610"/>
      </w:tblGrid>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Elizabeth Lyndon, Managing Director</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C. Weeks, President</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(Trustees)</w:t>
            </w:r>
          </w:p>
        </w:tc>
      </w:tr>
      <w:tr>
        <w:trPr/>
        <w:tc>
          <w:tcPr>
            <w:tcW w:w="75" w:type="dxa"/>
            <w:tcBorders/>
            <w:vAlign w:val="center"/>
          </w:tcPr>
          <w:p>
            <w:pPr>
              <w:pStyle w:val="TableContents"/>
              <w:bidi w:val="0"/>
              <w:spacing w:before="0" w:after="283"/>
              <w:jc w:val="left"/>
              <w:rPr/>
            </w:pPr>
            <w:r>
              <w:rPr/>
              <w:t> </w:t>
            </w:r>
          </w:p>
        </w:tc>
        <w:tc>
          <w:tcPr>
            <w:tcW w:w="3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Fernando A. Costa, Managing Director </w:t>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161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bookmarkStart w:id="39" w:name="tm2627635d2_ex25-2.htm"/>
      <w:bookmarkStart w:id="40" w:name="kstm2627635d2_ex252"/>
      <w:bookmarkEnd w:id="39"/>
      <w:bookmarkEnd w:id="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25.2</w:t>
      </w:r>
    </w:p>
    <w:p>
      <w:pPr>
        <w:pStyle w:val="TextBody"/>
        <w:bidi w:val="0"/>
        <w:spacing w:before="0" w:after="283"/>
        <w:jc w:val="left"/>
        <w:rPr/>
      </w:pPr>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ELIGIBILITY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TRUST INDENTURE ACT OF 1939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A CORPORATION DESIGNATED TO ACT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if an Application to Determine Eligibility of a Trustee Pursuant to Section 305(b)(2)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WILMINGTON TRUST, NATIONAL ASSOCIATION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4745"/>
        <w:gridCol w:w="3275"/>
      </w:tblGrid>
      <w:tr>
        <w:trPr/>
        <w:tc>
          <w:tcPr>
            <w:tcW w:w="47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327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16-1486454</w:t>
            </w:r>
          </w:p>
        </w:tc>
      </w:tr>
      <w:tr>
        <w:trPr/>
        <w:tc>
          <w:tcPr>
            <w:tcW w:w="474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(Jurisdiction of incorporation of organization if not a U.S. </w:t>
              <w:br/>
              <w:t>national bank)</w:t>
            </w:r>
          </w:p>
        </w:tc>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1100 North Market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Delaware 19890-0001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Kyle Barry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Vice President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Company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 Delaware Ave.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Buffalo, NY 14202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(716) 839-6909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of service)</w:t>
      </w:r>
    </w:p>
    <w:p>
      <w:pPr>
        <w:pStyle w:val="TextBody"/>
        <w:bidi w:val="0"/>
        <w:spacing w:before="0" w:after="0"/>
        <w:ind w:left="0" w:right="0" w:hanging="0"/>
        <w:jc w:val="left"/>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4880"/>
        <w:gridCol w:w="3155"/>
      </w:tblGrid>
      <w:tr>
        <w:trPr/>
        <w:tc>
          <w:tcPr>
            <w:tcW w:w="8035" w:type="dxa"/>
            <w:gridSpan w:val="2"/>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val="false"/>
                <w:i w:val="false"/>
                <w:caps w:val="false"/>
                <w:smallCaps w:val="false"/>
                <w:sz w:val="28"/>
              </w:rPr>
              <w:t>United Airlines, Inc.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tc>
      </w:tr>
      <w:tr>
        <w:trPr/>
        <w:tc>
          <w:tcPr>
            <w:tcW w:w="4880" w:type="dxa"/>
            <w:tcBorders/>
            <w:vAlign w:val="center"/>
          </w:tcPr>
          <w:p>
            <w:pPr>
              <w:pStyle w:val="TableContents"/>
              <w:bidi w:val="0"/>
              <w:spacing w:before="0" w:after="283"/>
              <w:jc w:val="center"/>
              <w:rPr/>
            </w:pPr>
            <w:r>
              <w:rPr/>
              <w:t> </w:t>
            </w:r>
          </w:p>
        </w:tc>
        <w:tc>
          <w:tcPr>
            <w:tcW w:w="315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31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74-2099724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Number</w:t>
            </w:r>
          </w:p>
        </w:tc>
      </w:tr>
      <w:tr>
        <w:trPr/>
        <w:tc>
          <w:tcPr>
            <w:tcW w:w="4880" w:type="dxa"/>
            <w:tcBorders/>
            <w:vAlign w:val="center"/>
          </w:tcPr>
          <w:p>
            <w:pPr>
              <w:pStyle w:val="TableContents"/>
              <w:bidi w:val="0"/>
              <w:spacing w:before="0" w:after="283"/>
              <w:jc w:val="center"/>
              <w:rPr/>
            </w:pPr>
            <w:r>
              <w:rPr/>
              <w:t> </w:t>
            </w:r>
          </w:p>
        </w:tc>
        <w:tc>
          <w:tcPr>
            <w:tcW w:w="3155" w:type="dxa"/>
            <w:tcBorders/>
            <w:vAlign w:val="center"/>
          </w:tcPr>
          <w:p>
            <w:pPr>
              <w:pStyle w:val="TableContents"/>
              <w:bidi w:val="0"/>
              <w:spacing w:before="0" w:after="283"/>
              <w:jc w:val="center"/>
              <w:rPr/>
            </w:pPr>
            <w:r>
              <w:rPr/>
              <w:t> </w:t>
            </w:r>
          </w:p>
        </w:tc>
      </w:tr>
      <w:tr>
        <w:trPr/>
        <w:tc>
          <w:tcPr>
            <w:tcW w:w="48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S. Wacker, Chicago, IL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315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60606</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r>
        <w:trPr/>
        <w:tc>
          <w:tcPr>
            <w:tcW w:w="8035" w:type="dxa"/>
            <w:gridSpan w:val="2"/>
            <w:tcBorders/>
            <w:vAlign w:val="center"/>
          </w:tcPr>
          <w:p>
            <w:pPr>
              <w:pStyle w:val="TableContents"/>
              <w:bidi w:val="0"/>
              <w:spacing w:before="0" w:after="283"/>
              <w:jc w:val="center"/>
              <w:rPr/>
            </w:pPr>
            <w:r>
              <w:rPr/>
              <w:t> </w:t>
            </w:r>
          </w:p>
        </w:tc>
      </w:tr>
      <w:tr>
        <w:trPr/>
        <w:tc>
          <w:tcPr>
            <w:tcW w:w="8035"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Pass Through Certificates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the indenture securities)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4120" w:type="dxa"/>
        <w:jc w:val="left"/>
        <w:tblInd w:w="0" w:type="dxa"/>
        <w:tblLayout w:type="fixed"/>
        <w:tblCellMar>
          <w:top w:w="0" w:type="dxa"/>
          <w:left w:w="0" w:type="dxa"/>
          <w:bottom w:w="0" w:type="dxa"/>
          <w:right w:w="0" w:type="dxa"/>
        </w:tblCellMar>
      </w:tblPr>
      <w:tblGrid>
        <w:gridCol w:w="965"/>
        <w:gridCol w:w="3155"/>
      </w:tblGrid>
      <w:tr>
        <w:trPr/>
        <w:tc>
          <w:tcPr>
            <w:tcW w:w="965" w:type="dxa"/>
            <w:tcBorders/>
            <w:vAlign w:val="center"/>
          </w:tcPr>
          <w:p>
            <w:pPr>
              <w:pStyle w:val="TableContents"/>
              <w:bidi w:val="0"/>
              <w:spacing w:before="0" w:after="283"/>
              <w:jc w:val="left"/>
              <w:rPr>
                <w:b/>
              </w:rPr>
            </w:pPr>
            <w:r>
              <w:rPr>
                <w:b/>
              </w:rPr>
              <w:t xml:space="preserve">ITEM 1. </w:t>
            </w:r>
          </w:p>
        </w:tc>
        <w:tc>
          <w:tcPr>
            <w:tcW w:w="3155" w:type="dxa"/>
            <w:tcBorders/>
            <w:vAlign w:val="center"/>
          </w:tcPr>
          <w:p>
            <w:pPr>
              <w:pStyle w:val="TableContents"/>
              <w:bidi w:val="0"/>
              <w:spacing w:before="0" w:after="283"/>
              <w:jc w:val="left"/>
              <w:rPr>
                <w:b/>
              </w:rPr>
            </w:pPr>
            <w:r>
              <w:rPr>
                <w:b/>
              </w:rPr>
              <w:t>GENERAL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 the following information as to the trustee:</w:t>
      </w:r>
    </w:p>
    <w:p>
      <w:pPr>
        <w:pStyle w:val="TextBody"/>
        <w:bidi w:val="0"/>
        <w:spacing w:before="0" w:after="0"/>
        <w:ind w:left="0" w:right="0" w:hanging="0"/>
        <w:jc w:val="left"/>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275"/>
        <w:gridCol w:w="79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7925" w:type="dxa"/>
            <w:tcBorders/>
            <w:vAlign w:val="center"/>
          </w:tcPr>
          <w:p>
            <w:pPr>
              <w:pStyle w:val="TableContents"/>
              <w:bidi w:val="0"/>
              <w:spacing w:before="0" w:after="283"/>
              <w:jc w:val="left"/>
              <w:rPr/>
            </w:pPr>
            <w:r>
              <w:rPr/>
              <w:t>Name and address of each examining or supervising authority to which it is subject.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Comptroller of Currency, Washington, D.C.</w:t>
      </w:r>
    </w:p>
    <w:p>
      <w:pPr>
        <w:pStyle w:val="TextBody"/>
        <w:bidi w:val="0"/>
        <w:spacing w:before="0" w:after="0"/>
        <w:ind w:left="0" w:right="0" w:firstLine="165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Deposit Insurance Corporation, Washington, D.C.</w:t>
      </w:r>
    </w:p>
    <w:p>
      <w:pPr>
        <w:pStyle w:val="TextBody"/>
        <w:bidi w:val="0"/>
        <w:spacing w:before="0" w:after="0"/>
        <w:ind w:left="1440" w:right="0" w:hanging="0"/>
        <w:jc w:val="left"/>
        <w:rPr>
          <w:caps w:val="false"/>
          <w:smallCaps w:val="false"/>
        </w:rPr>
      </w:pPr>
      <w:r>
        <w:rPr>
          <w:caps w:val="false"/>
          <w:smallCaps w:val="false"/>
        </w:rPr>
        <w:t> </w:t>
      </w:r>
    </w:p>
    <w:tbl>
      <w:tblPr>
        <w:tblW w:w="5898" w:type="dxa"/>
        <w:jc w:val="left"/>
        <w:tblInd w:w="0" w:type="dxa"/>
        <w:tblLayout w:type="fixed"/>
        <w:tblCellMar>
          <w:top w:w="0" w:type="dxa"/>
          <w:left w:w="0" w:type="dxa"/>
          <w:bottom w:w="0" w:type="dxa"/>
          <w:right w:w="0" w:type="dxa"/>
        </w:tblCellMar>
      </w:tblPr>
      <w:tblGrid>
        <w:gridCol w:w="38"/>
        <w:gridCol w:w="290"/>
        <w:gridCol w:w="557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5570" w:type="dxa"/>
            <w:tcBorders/>
            <w:vAlign w:val="center"/>
          </w:tcPr>
          <w:p>
            <w:pPr>
              <w:pStyle w:val="TableContents"/>
              <w:bidi w:val="0"/>
              <w:spacing w:before="0" w:after="283"/>
              <w:jc w:val="left"/>
              <w:rPr/>
            </w:pPr>
            <w:r>
              <w:rPr/>
              <w:t>Whether it is authorized to exercise corporate trust powers.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58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authorized to exercise corporate trust powers.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1743"/>
        <w:gridCol w:w="8389"/>
      </w:tblGrid>
      <w:tr>
        <w:trPr/>
        <w:tc>
          <w:tcPr>
            <w:tcW w:w="7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b/>
              </w:rPr>
            </w:pPr>
            <w:r>
              <w:rPr>
                <w:b/>
              </w:rPr>
              <w:t>ITEM 2.</w:t>
            </w:r>
          </w:p>
        </w:tc>
        <w:tc>
          <w:tcPr>
            <w:tcW w:w="8389" w:type="dxa"/>
            <w:tcBorders/>
            <w:vAlign w:val="center"/>
          </w:tcPr>
          <w:p>
            <w:pPr>
              <w:pStyle w:val="TableContents"/>
              <w:bidi w:val="0"/>
              <w:spacing w:before="0" w:after="283"/>
              <w:jc w:val="left"/>
              <w:rPr>
                <w:b/>
              </w:rPr>
            </w:pPr>
            <w:r>
              <w:rPr>
                <w:b/>
              </w:rPr>
              <w:t>AFFILIATIONS WITH THE OBLIGOR.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obligor is an affiliate of the trustee, describe each affiliation: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 examination of the books and records of the trustee and information available to the trustee, the obligor is not an affiliate of the trustee.</w:t>
      </w:r>
    </w:p>
    <w:p>
      <w:pPr>
        <w:pStyle w:val="TextBody"/>
        <w:bidi w:val="0"/>
        <w:spacing w:before="0" w:after="0"/>
        <w:ind w:left="0" w:right="0" w:hanging="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114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 15.</w:t>
            </w:r>
          </w:p>
        </w:tc>
        <w:tc>
          <w:tcPr>
            <w:tcW w:w="1535" w:type="dxa"/>
            <w:tcBorders/>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38"/>
        <w:gridCol w:w="845"/>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w:t>
            </w:r>
          </w:p>
        </w:tc>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Listed below are all exhibits filed as part of this Statement of Eligibility and Qualification.</w:t>
      </w:r>
    </w:p>
    <w:p>
      <w:pPr>
        <w:pStyle w:val="TextBody"/>
        <w:bidi w:val="0"/>
        <w:spacing w:before="0" w:after="0"/>
        <w:ind w:left="0" w:right="0" w:hanging="0"/>
        <w:jc w:val="left"/>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38"/>
        <w:gridCol w:w="200"/>
        <w:gridCol w:w="633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335" w:type="dxa"/>
            <w:tcBorders/>
            <w:vAlign w:val="center"/>
          </w:tcPr>
          <w:p>
            <w:pPr>
              <w:pStyle w:val="TableContents"/>
              <w:bidi w:val="0"/>
              <w:spacing w:before="0" w:after="283"/>
              <w:jc w:val="both"/>
              <w:rPr/>
            </w:pPr>
            <w:r>
              <w:rPr/>
              <w:t>A copy of the Charter for Wilmington Trust, National Association.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2.</w:t>
            </w:r>
          </w:p>
        </w:tc>
        <w:tc>
          <w:tcPr>
            <w:tcW w:w="9999" w:type="dxa"/>
            <w:tcBorders/>
            <w:vAlign w:val="center"/>
          </w:tcPr>
          <w:p>
            <w:pPr>
              <w:pStyle w:val="TableContents"/>
              <w:bidi w:val="0"/>
              <w:spacing w:before="0" w:after="283"/>
              <w:jc w:val="left"/>
              <w:rPr/>
            </w:pPr>
            <w:r>
              <w:rPr/>
              <w:t>The authority of Wilmington Trust, National Association to commence business was granted under the Charter for Wilmington Trust, National Association, incorporated herein by reference to Exhibit 1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3.</w:t>
            </w:r>
          </w:p>
        </w:tc>
        <w:tc>
          <w:tcPr>
            <w:tcW w:w="9994" w:type="dxa"/>
            <w:tcBorders/>
            <w:vAlign w:val="center"/>
          </w:tcPr>
          <w:p>
            <w:pPr>
              <w:pStyle w:val="TableContents"/>
              <w:bidi w:val="0"/>
              <w:spacing w:before="0" w:after="283"/>
              <w:jc w:val="left"/>
              <w:rPr/>
            </w:pPr>
            <w:r>
              <w:rPr/>
              <w:t>The authorization to exercise corporate trust powers was granted under the Charter for Wilmington Trust, National Association, incorporated herein by reference to Exhibit 1 above.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4.</w:t>
            </w:r>
          </w:p>
        </w:tc>
        <w:tc>
          <w:tcPr>
            <w:tcW w:w="9977" w:type="dxa"/>
            <w:tcBorders/>
            <w:vAlign w:val="center"/>
          </w:tcPr>
          <w:p>
            <w:pPr>
              <w:pStyle w:val="TableContents"/>
              <w:bidi w:val="0"/>
              <w:spacing w:before="0" w:after="283"/>
              <w:jc w:val="both"/>
              <w:rPr/>
            </w:pPr>
            <w:r>
              <w:rPr/>
              <w:t>A copy of the existing By-Laws of Trustee, as now in effect, incorporated herein by reference to Exhibit 4 of this Form T-1.</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20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5.</w:t>
            </w:r>
          </w:p>
        </w:tc>
        <w:tc>
          <w:tcPr>
            <w:tcW w:w="147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6.</w:t>
            </w:r>
          </w:p>
        </w:tc>
        <w:tc>
          <w:tcPr>
            <w:tcW w:w="9992" w:type="dxa"/>
            <w:tcBorders/>
            <w:vAlign w:val="center"/>
          </w:tcPr>
          <w:p>
            <w:pPr>
              <w:pStyle w:val="TableContents"/>
              <w:bidi w:val="0"/>
              <w:spacing w:before="0" w:after="283"/>
              <w:jc w:val="left"/>
              <w:rPr/>
            </w:pPr>
            <w:r>
              <w:rPr/>
              <w:t>The consent of Wilmington Trust, National Association as required by Section 321(b) of the Trust Indenture Act of 1939, attached hereto as Exhibit 6 of this Form T-1.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7.</w:t>
            </w:r>
          </w:p>
        </w:tc>
        <w:tc>
          <w:tcPr>
            <w:tcW w:w="9999" w:type="dxa"/>
            <w:tcBorders/>
            <w:vAlign w:val="center"/>
          </w:tcPr>
          <w:p>
            <w:pPr>
              <w:pStyle w:val="TableContents"/>
              <w:bidi w:val="0"/>
              <w:spacing w:before="0" w:after="283"/>
              <w:jc w:val="left"/>
              <w:rPr/>
            </w:pPr>
            <w:r>
              <w:rPr/>
              <w:t>Current Report of the Condition of Wilmington Trust, National Association, published pursuant to law or the requirements of its supervising or examining authority, attached hereto as Exhibit 7 of this Form T-1.</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20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8.</w:t>
            </w:r>
          </w:p>
        </w:tc>
        <w:tc>
          <w:tcPr>
            <w:tcW w:w="147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713" w:type="dxa"/>
        <w:jc w:val="left"/>
        <w:tblInd w:w="0" w:type="dxa"/>
        <w:tblLayout w:type="fixed"/>
        <w:tblCellMar>
          <w:top w:w="0" w:type="dxa"/>
          <w:left w:w="0" w:type="dxa"/>
          <w:bottom w:w="0" w:type="dxa"/>
          <w:right w:w="0" w:type="dxa"/>
        </w:tblCellMar>
      </w:tblPr>
      <w:tblGrid>
        <w:gridCol w:w="38"/>
        <w:gridCol w:w="20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9.</w:t>
            </w:r>
          </w:p>
        </w:tc>
        <w:tc>
          <w:tcPr>
            <w:tcW w:w="147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Wilmington Trust, National Association, a national banking association organized and existing under the laws of the United States of America, has duly caused this statement of eligibility to be signed on its behalf by the undersigned, thereunto duly authorized, all in the City of Wilmington and State of Delaware on the 21st day of October, 2026.</w:t>
      </w:r>
    </w:p>
    <w:p>
      <w:pPr>
        <w:pStyle w:val="TextBody"/>
        <w:bidi w:val="0"/>
        <w:spacing w:before="0" w:after="0"/>
        <w:jc w:val="left"/>
        <w:rPr>
          <w:caps w:val="false"/>
          <w:smallCaps w:val="false"/>
        </w:rPr>
      </w:pPr>
      <w:r>
        <w:rPr>
          <w:caps w:val="false"/>
          <w:smallCaps w:val="false"/>
        </w:rPr>
        <w:t> </w:t>
      </w:r>
    </w:p>
    <w:tbl>
      <w:tblPr>
        <w:tblW w:w="4669" w:type="dxa"/>
        <w:jc w:val="left"/>
        <w:tblInd w:w="0" w:type="dxa"/>
        <w:tblLayout w:type="fixed"/>
        <w:tblCellMar>
          <w:top w:w="0" w:type="dxa"/>
          <w:left w:w="0" w:type="dxa"/>
          <w:bottom w:w="0" w:type="dxa"/>
          <w:right w:w="0" w:type="dxa"/>
        </w:tblCellMar>
      </w:tblPr>
      <w:tblGrid>
        <w:gridCol w:w="75"/>
        <w:gridCol w:w="1079"/>
        <w:gridCol w:w="3515"/>
      </w:tblGrid>
      <w:tr>
        <w:trPr/>
        <w:tc>
          <w:tcPr>
            <w:tcW w:w="75"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tc>
      </w:tr>
      <w:tr>
        <w:trPr/>
        <w:tc>
          <w:tcPr>
            <w:tcW w:w="75"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15"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Chad May</w:t>
            </w:r>
          </w:p>
        </w:tc>
      </w:tr>
      <w:tr>
        <w:trPr/>
        <w:tc>
          <w:tcPr>
            <w:tcW w:w="75"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Chad May</w:t>
            </w:r>
          </w:p>
        </w:tc>
      </w:tr>
      <w:tr>
        <w:trPr/>
        <w:tc>
          <w:tcPr>
            <w:tcW w:w="75"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5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CHARTER OF 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ASSOCIATION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organizing an association to perform any lawful activities of national banks, the undersigned do enter into the following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The title of this association shall be 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The main office of the association shall be in the City of Wilmington, County of New Castle, State of Delaware. The general business of the association shall be conducted at its main office and its branches.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The board of directors of this association shall consist of not less than five nor more than twenty-five persons, unless the OCC has exempted the bank from the 25-member limit. The exact number is to be fixed and determined from time to time by resolution of a 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$1,000. Determination of these values may be based as of either (i) the date of purchase or (ii) the date the person became a director, whichever value is greater. Any combination of common or preferred stock of the association or holding company may be used.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vacancy in the board of directors may be filled by action of a majority of the remaining directors between meetings of shareholders. The board of directors may not increase the number of directors between meetings of shareholders to a number which: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283"/>
              <w:jc w:val="left"/>
              <w:rPr/>
            </w:pPr>
            <w:r>
              <w:rPr/>
              <w:t>exceeds by more than two the number of directors last elected by shareholders where the number was 15 or less;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7" w:type="dxa"/>
            <w:tcBorders/>
            <w:vAlign w:val="center"/>
          </w:tcPr>
          <w:p>
            <w:pPr>
              <w:pStyle w:val="TableContents"/>
              <w:bidi w:val="0"/>
              <w:spacing w:before="0" w:after="283"/>
              <w:jc w:val="left"/>
              <w:rPr/>
            </w:pPr>
            <w:r>
              <w:rPr/>
              <w:t>exceeds by more than four the number of directors last elected by shareholders where the number was 16 or more, but in no event shall the number of directors exceed 25, unless the OCC has exempted the bank from the 25-member limit.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shall be elected for terms of one year and until their successors are elected and qualified.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qualifies or until there is a decrease in the number of directors and his or her position is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 the number of directors of the association or the presence of a quorum in connection with any board action, and shall not be required to own qualifying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There shall be an annual meeting of the shareholders to elect directors and transact whatever other business may be brought before the meeting. It shall be held at the main office or any other 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time, place and purpose of a shareholders’ meeting shall be given to the shareholders by first class mail, unless the OCC determines that an emergency circumstance exists. The sole shareholder of the bank is permitted to waive notice of the shareholders’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all elections of directors, the number of votes each common shareholder may cast will be determined by multiplying the number of shares such shareholder owns by the number of directors to be elected. Those votes may be cumulated and cast for a single candidate or may be distributed among two or more candidates in the manner selected by the shareholder. If, after the first ballot, subsequent ballots are necessary to elect directors, a shareholder may not vote shares that he or she has already fully cumulated and voted in favor of a successful candidate. On all other questions, each common shareholder shall be entitled to one vote for each share of stock held by him or 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for election to the board of directors may be made by the board of directors or by any stockholder of any outstanding class of capital stock of the association entitled to vote for election of directors. Nominations other than those made by or on behalf of the existing management shall be made in writing and be delivered or mailed to the president of the association not less than 14 days nor more than 50 days prior to any meeting of shareholders called for the election of directors; provided, however, that if less than 21 days notice of the meeting is given to shareholders, such nominations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37"/>
        <w:gridCol w:w="9691"/>
      </w:tblGrid>
      <w:tr>
        <w:trPr/>
        <w:tc>
          <w:tcPr>
            <w:tcW w:w="7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pPr>
            <w:r>
              <w:rPr/>
              <w:t>1)</w:t>
            </w:r>
          </w:p>
        </w:tc>
        <w:tc>
          <w:tcPr>
            <w:tcW w:w="9691" w:type="dxa"/>
            <w:tcBorders/>
            <w:vAlign w:val="center"/>
          </w:tcPr>
          <w:p>
            <w:pPr>
              <w:pStyle w:val="TableContents"/>
              <w:bidi w:val="0"/>
              <w:spacing w:before="0" w:after="283"/>
              <w:jc w:val="left"/>
              <w:rPr/>
            </w:pPr>
            <w:r>
              <w:rPr/>
              <w:t>The name and address of each proposed nominee.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418"/>
        <w:gridCol w:w="9714"/>
      </w:tblGrid>
      <w:tr>
        <w:trPr/>
        <w:tc>
          <w:tcPr>
            <w:tcW w:w="7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pPr>
            <w:r>
              <w:rPr/>
              <w:t>2)</w:t>
            </w:r>
          </w:p>
        </w:tc>
        <w:tc>
          <w:tcPr>
            <w:tcW w:w="9714" w:type="dxa"/>
            <w:tcBorders/>
            <w:vAlign w:val="center"/>
          </w:tcPr>
          <w:p>
            <w:pPr>
              <w:pStyle w:val="TableContents"/>
              <w:bidi w:val="0"/>
              <w:spacing w:before="0" w:after="283"/>
              <w:jc w:val="left"/>
              <w:rPr/>
            </w:pPr>
            <w:r>
              <w:rPr/>
              <w:t>The principal occupation of each proposed nominee.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3"/>
        <w:gridCol w:w="9955"/>
      </w:tblGrid>
      <w:tr>
        <w:trPr/>
        <w:tc>
          <w:tcPr>
            <w:tcW w:w="3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283"/>
              <w:jc w:val="left"/>
              <w:rPr/>
            </w:pPr>
            <w:r>
              <w:rPr/>
              <w:t>The total number of shares of capital stock of the association that will be voted for each proposed nominee.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61"/>
        <w:gridCol w:w="9781"/>
      </w:tblGrid>
      <w:tr>
        <w:trPr/>
        <w:tc>
          <w:tcPr>
            <w:tcW w:w="6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4)</w:t>
            </w:r>
          </w:p>
        </w:tc>
        <w:tc>
          <w:tcPr>
            <w:tcW w:w="9781" w:type="dxa"/>
            <w:tcBorders/>
            <w:vAlign w:val="center"/>
          </w:tcPr>
          <w:p>
            <w:pPr>
              <w:pStyle w:val="TableContents"/>
              <w:bidi w:val="0"/>
              <w:spacing w:before="0" w:after="283"/>
              <w:jc w:val="left"/>
              <w:rPr/>
            </w:pPr>
            <w:r>
              <w:rPr/>
              <w:t>The name and residence address of the notifying shareholder.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44"/>
        <w:gridCol w:w="9919"/>
      </w:tblGrid>
      <w:tr>
        <w:trPr/>
        <w:tc>
          <w:tcPr>
            <w:tcW w:w="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5)</w:t>
            </w:r>
          </w:p>
        </w:tc>
        <w:tc>
          <w:tcPr>
            <w:tcW w:w="9919" w:type="dxa"/>
            <w:tcBorders/>
            <w:vAlign w:val="center"/>
          </w:tcPr>
          <w:p>
            <w:pPr>
              <w:pStyle w:val="TableContents"/>
              <w:bidi w:val="0"/>
              <w:spacing w:before="0" w:after="283"/>
              <w:jc w:val="left"/>
              <w:rPr/>
            </w:pPr>
            <w:r>
              <w:rPr/>
              <w:t>The number of shares of capital stock of the association owned by the notifying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not made in accordance herewith may, in his/her discretion, be disregarded by the chairperson of the meeting, and the vote tellers may disregard all votes cast for each such nominee. No bylaw may unreasonably restrict the nomination of directors by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resign at any time by delivering written notice to the board of directors, its chairperson, or to the association, which resignation shall be effective when the notice is delivered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may be removed by shareholders at a meeting called to remove the director, when notice of the meeting stating that the purpose or one of the purposes is to remove the director is provided, if there is a failure to fulfill one of the affirmative requirements for qualification, or for cause; provided, however, that a director may not be removed if the number of votes sufficient to elect the director under cumulative voting is voted against the director's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FIFTH. The authorized amount of capital stock of this association shall be ten thousand shares of common stock of the par value of one hundred dollars ($100) each; but said capital stock may be increased or decreased from time to time, according to the provisions of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 Preemptive rights also must be approved by a vote of holders of two-thirds of the bank’s outstanding voting shares. Unless otherwise specified in these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these articles of association or required by law, all shares of voting stock shall be voted together as a class, on any matters requiring shareholder approval. If a proposed amendment would affect two or more classes or series in the same or a substantially similar way, all the classes or series so affected must vote together as a single voting group on the proposed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one class or series may be issued as a dividend for shares of the same class or series on a pro rata basis and without consideration. Shares of one class or series may be issued as share dividends for a different class or series of stock if approved by a majority of the votes entitled to be cast by the class or series to be issued, unless there are no outstanding shares of the class or series to be issued. Unless otherwise provided by the board of directors, the record date for determining shareholders entitled to a share dividend shall be the date authorized by the board of directors for the share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is entitled to fractional shares pursuant to a stock dividend, consolidation or merger, reverse stock split or otherwise, the association may: (a) issue fractional shares; (b) in lieu of the issuance of fractional shares, issue script or warrants entitling the holder to receive a full share upon surrendering enough script or warrants to equal a full share; (c) if there is an established and active market in the association's stock, make reasonable arrangements to provide the shareholder with an opportunity to realize a fair price through sale of the fraction, or purchase of the additional fraction required for a full share; (d) remit the cash equivalent of the fraction to the shareholder; or (e) sell full shares representing all the fractions at public auction or to the highest bidder after having solicited and received sealed bids from at least three licensed stock brokers; and distribute the proceeds pro rata to shareholders who otherwise would be entitled to the fractional shares. The holder of a fractional share is entitled to exercise the rights for shareholder, including the right to vote, to receive dividends, and to participate in the assets of the association upon liquidation, in proportion to the fractional interest. The holder of script or warrants is not entitled to any of these rights unless the script or warrants explicitly provide for such rights. The script or warrants may be subject to such additional conditions as: (1) that the script or warrants will become void if not exchanged for full shares before a specified date; and (2) that the shares for which the script or warrants are exchangeable may be sold at the option of the association and the proceeds paid to scriptholders.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at any time and from time to time, may authorize and issue debt obligations, whether or not subordinated, without the approval of the shareholders. Obligations classified as debt, whether or not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SIXTH. The board of directors shall appoint one of its members president of this association, and one of its members chairperson of the board and shall have the power to appoint one or more vice presidents, a secretary who shall keep minutes of the directors' and shareholders' meetings and be responsible for authenticating the records of the association, and such other officers and employees as may be required to transact the business of this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duly appointed officer may appoint one or more officers or assistant officers if authorized by the board of directors in accordance with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shall have the power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02"/>
        <w:gridCol w:w="9850"/>
      </w:tblGrid>
      <w:tr>
        <w:trPr/>
        <w:tc>
          <w:tcPr>
            <w:tcW w:w="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1)</w:t>
            </w:r>
          </w:p>
        </w:tc>
        <w:tc>
          <w:tcPr>
            <w:tcW w:w="9850" w:type="dxa"/>
            <w:tcBorders/>
            <w:vAlign w:val="center"/>
          </w:tcPr>
          <w:p>
            <w:pPr>
              <w:pStyle w:val="TableContents"/>
              <w:bidi w:val="0"/>
              <w:spacing w:before="0" w:after="283"/>
              <w:jc w:val="left"/>
              <w:rPr/>
            </w:pPr>
            <w:r>
              <w:rPr/>
              <w:t>Define the duties of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283"/>
              <w:jc w:val="left"/>
              <w:rPr/>
            </w:pPr>
            <w:r>
              <w:rPr/>
              <w:t>Delegate the performance of its duties, but not the responsibility for its duties, to the officers, employees, and agents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7"/>
        <w:gridCol w:w="9981"/>
      </w:tblGrid>
      <w:tr>
        <w:trPr/>
        <w:tc>
          <w:tcPr>
            <w:tcW w:w="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3)</w:t>
            </w:r>
          </w:p>
        </w:tc>
        <w:tc>
          <w:tcPr>
            <w:tcW w:w="9981" w:type="dxa"/>
            <w:tcBorders/>
            <w:vAlign w:val="center"/>
          </w:tcPr>
          <w:p>
            <w:pPr>
              <w:pStyle w:val="TableContents"/>
              <w:bidi w:val="0"/>
              <w:spacing w:before="0" w:after="283"/>
              <w:jc w:val="left"/>
              <w:rPr/>
            </w:pPr>
            <w:r>
              <w:rPr/>
              <w:t>Fix the compensation and enter into employment contracts with its officers and employees upon reasonable terms and conditions consistent with applicable law.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658"/>
        <w:gridCol w:w="9431"/>
      </w:tblGrid>
      <w:tr>
        <w:trPr/>
        <w:tc>
          <w:tcPr>
            <w:tcW w:w="11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pPr>
            <w:r>
              <w:rPr/>
              <w:t>4)</w:t>
            </w:r>
          </w:p>
        </w:tc>
        <w:tc>
          <w:tcPr>
            <w:tcW w:w="9431" w:type="dxa"/>
            <w:tcBorders/>
            <w:vAlign w:val="center"/>
          </w:tcPr>
          <w:p>
            <w:pPr>
              <w:pStyle w:val="TableContents"/>
              <w:bidi w:val="0"/>
              <w:spacing w:before="0" w:after="283"/>
              <w:jc w:val="left"/>
              <w:rPr/>
            </w:pPr>
            <w:r>
              <w:rPr/>
              <w:t>Dismiss officers and employees.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302"/>
        <w:gridCol w:w="9850"/>
      </w:tblGrid>
      <w:tr>
        <w:trPr/>
        <w:tc>
          <w:tcPr>
            <w:tcW w:w="5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5)</w:t>
            </w:r>
          </w:p>
        </w:tc>
        <w:tc>
          <w:tcPr>
            <w:tcW w:w="9850" w:type="dxa"/>
            <w:tcBorders/>
            <w:vAlign w:val="center"/>
          </w:tcPr>
          <w:p>
            <w:pPr>
              <w:pStyle w:val="TableContents"/>
              <w:bidi w:val="0"/>
              <w:spacing w:before="0" w:after="283"/>
              <w:jc w:val="left"/>
              <w:rPr/>
            </w:pPr>
            <w:r>
              <w:rPr/>
              <w:t>Require bonds from officers and employees and to fix the penalty thereof.</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38"/>
        <w:gridCol w:w="9925"/>
      </w:tblGrid>
      <w:tr>
        <w:trPr/>
        <w:tc>
          <w:tcPr>
            <w:tcW w:w="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6)</w:t>
            </w:r>
          </w:p>
        </w:tc>
        <w:tc>
          <w:tcPr>
            <w:tcW w:w="9925" w:type="dxa"/>
            <w:tcBorders/>
            <w:vAlign w:val="center"/>
          </w:tcPr>
          <w:p>
            <w:pPr>
              <w:pStyle w:val="TableContents"/>
              <w:bidi w:val="0"/>
              <w:spacing w:before="0" w:after="283"/>
              <w:jc w:val="left"/>
              <w:rPr/>
            </w:pPr>
            <w:r>
              <w:rPr/>
              <w:t>Ratify written policies authorized by the association's management or committees of the board.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9"/>
        <w:gridCol w:w="10009"/>
      </w:tblGrid>
      <w:tr>
        <w:trPr/>
        <w:tc>
          <w:tcPr>
            <w:tcW w:w="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7)</w:t>
            </w:r>
          </w:p>
        </w:tc>
        <w:tc>
          <w:tcPr>
            <w:tcW w:w="10009" w:type="dxa"/>
            <w:tcBorders/>
            <w:vAlign w:val="center"/>
          </w:tcPr>
          <w:p>
            <w:pPr>
              <w:pStyle w:val="TableContents"/>
              <w:bidi w:val="0"/>
              <w:spacing w:before="0" w:after="283"/>
              <w:jc w:val="left"/>
              <w:rPr/>
            </w:pPr>
            <w:r>
              <w:rPr/>
              <w:t>Regulate the manner in which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38"/>
        <w:gridCol w:w="9808"/>
      </w:tblGrid>
      <w:tr>
        <w:trPr/>
        <w:tc>
          <w:tcPr>
            <w:tcW w:w="5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8)</w:t>
            </w:r>
          </w:p>
        </w:tc>
        <w:tc>
          <w:tcPr>
            <w:tcW w:w="9808" w:type="dxa"/>
            <w:tcBorders/>
            <w:vAlign w:val="center"/>
          </w:tcPr>
          <w:p>
            <w:pPr>
              <w:pStyle w:val="TableContents"/>
              <w:bidi w:val="0"/>
              <w:spacing w:before="0" w:after="283"/>
              <w:jc w:val="left"/>
              <w:rPr/>
            </w:pPr>
            <w:r>
              <w:rPr/>
              <w:t>Manage and administer the business and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9)</w:t>
            </w:r>
          </w:p>
        </w:tc>
        <w:tc>
          <w:tcPr>
            <w:tcW w:w="9976" w:type="dxa"/>
            <w:tcBorders/>
            <w:vAlign w:val="center"/>
          </w:tcPr>
          <w:p>
            <w:pPr>
              <w:pStyle w:val="TableContents"/>
              <w:bidi w:val="0"/>
              <w:spacing w:before="0" w:after="283"/>
              <w:jc w:val="left"/>
              <w:rPr/>
            </w:pPr>
            <w:r>
              <w:rPr/>
              <w:t>Adopt initial bylaws, not inconsistent with law or the articles of association, for managing the business and regulating the affairs of the association.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18"/>
        <w:gridCol w:w="9850"/>
      </w:tblGrid>
      <w:tr>
        <w:trPr/>
        <w:tc>
          <w:tcPr>
            <w:tcW w:w="3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10)</w:t>
            </w:r>
          </w:p>
        </w:tc>
        <w:tc>
          <w:tcPr>
            <w:tcW w:w="9850" w:type="dxa"/>
            <w:tcBorders/>
            <w:vAlign w:val="center"/>
          </w:tcPr>
          <w:p>
            <w:pPr>
              <w:pStyle w:val="TableContents"/>
              <w:bidi w:val="0"/>
              <w:spacing w:before="0" w:after="283"/>
              <w:jc w:val="left"/>
              <w:rPr/>
            </w:pPr>
            <w:r>
              <w:rPr/>
              <w:t>Amend or repeal bylaws, except to the extent that the articles of association reserve this power in whole or in part to shareholders.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3"/>
        <w:gridCol w:w="1791"/>
        <w:gridCol w:w="8211"/>
      </w:tblGrid>
      <w:tr>
        <w:trPr/>
        <w:tc>
          <w:tcPr>
            <w:tcW w:w="203"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pPr>
            <w:r>
              <w:rPr/>
              <w:t>11)</w:t>
            </w:r>
          </w:p>
        </w:tc>
        <w:tc>
          <w:tcPr>
            <w:tcW w:w="8211" w:type="dxa"/>
            <w:tcBorders/>
            <w:vAlign w:val="center"/>
          </w:tcPr>
          <w:p>
            <w:pPr>
              <w:pStyle w:val="TableContents"/>
              <w:bidi w:val="0"/>
              <w:spacing w:before="0" w:after="283"/>
              <w:jc w:val="left"/>
              <w:rPr/>
            </w:pPr>
            <w:r>
              <w:rPr/>
              <w:t>Make contracts.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459"/>
        <w:gridCol w:w="9694"/>
      </w:tblGrid>
      <w:tr>
        <w:trPr/>
        <w:tc>
          <w:tcPr>
            <w:tcW w:w="5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pPr>
            <w:r>
              <w:rPr/>
              <w:t>12)</w:t>
            </w:r>
          </w:p>
        </w:tc>
        <w:tc>
          <w:tcPr>
            <w:tcW w:w="9694" w:type="dxa"/>
            <w:tcBorders/>
            <w:vAlign w:val="center"/>
          </w:tcPr>
          <w:p>
            <w:pPr>
              <w:pStyle w:val="TableContents"/>
              <w:bidi w:val="0"/>
              <w:spacing w:before="0" w:after="283"/>
              <w:jc w:val="left"/>
              <w:rPr/>
            </w:pPr>
            <w:r>
              <w:rPr/>
              <w:t>Generally perform all acts that are legal for a board of directors to perform.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SEVENTH. The board of directors shall have the power to change the location of the main office to any other place within the limits of Wilmington, Delaware, without the approval of the shareholders, or with a vote of shareholders owning two-thirds of the stock of such association for a relocation outside such limits and upon receipt of a certificate of approval from the Comptroller of the Currency, to any other location within or outside the limits of Wilmington Delaware, but not more than 30 miles beyond such limits. The board of directors shall have the power to establish or change the location of any branch or branches of the association to any other location permitted under applicable law, without approval of shareholders, subject to approval by the Comptroller of the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EIGHTH. The corporate existence of this association shall continue until termination according to the laws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NINTH. The board of directors of this association, or any one or more shareholders owning, in the aggregate, not less than 50 percent of the stock of this association, may call a special meeting of shareholders at any time. Unless otherwise provided by the bylaws or the laws of the United States, a notice of the time, place, and purpose of every annual and special meeting of the shareholders shall be given at least 10 days prior to the meeting by first-class mail, unless the OCC determines that an emergency circumstance exists. If the association is a wholly-owned subsidiary, the sole shareholder may waive notice of the shareholders’ meeting. Unless otherwise provided by the bylaws or these articles, any action requiring approval of shareholders must be effected at a duly called annual or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TENTH. For purposes of this Article Tenth, the term “institution-affiliated party” shall mean any institution-affiliated party of the association as such term is defined in 12 U.S.C. 1813(u).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bank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these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institution-affiliated party (or his or her heirs, executors or administrators) is ultimately found not to be entitled to indemnification as authorized by these articles of association and (b) approval by the board of directors acting by a quorum consisting of directors who are not parties to such action or proceeding or, if such a quorum is not obtainable, then approval by stockholders. To the extent permitted by law, the board of directors or, if applicable, the stockholders, shall not be required to find that the institution-affiliated party has met the applicable standard of conduct provided by law for indemnification in connection with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Article Tenth have been met. If independent legal counsel opines that said conditions have been met, the remaining members of the board of directors may rely on such opinion in authorizing the requested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Article Tenth have been met. If legal counsel opines that said conditions have been met, the board of directors may rely on such opinion in authorizing the requested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under applicable law, the rights of indemnification and to the advancement of expenses provided in these articles of association (a) shall be available with respect to events occurring prior to the adoption of these articles of association, (b) shall continue to exist after any restrictive amendment of these articles of association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indemnification and to the advancement of expenses provided in these articles of association shall not, to the extent permitted under applicable law, be deemed exclusive of any other rights to which any such institution affiliated party (or his or her heirs, executors or administrators) may now or hereafter be otherwise entitled whether contained in these articles of association, the bylaws, a resolution of stockholders,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articles of association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Article Tenth or any part hereof shall be held unenforceable in any respect by a court of competent jurisdiction, it shall be deemed modified to the minimum extent necessary to make it enforceable, and the remainder of this Article Tenth shall remain fully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may, upon affirmative vote of a majority of its board of directors, purchase insurance to indemnify its institution-affiliated parties to the extent that such indemnification is allowed in these articles of association; provided, however, that no such insurance shall include coverage to pay or reimburse any institution-affiliated party for the cost of any judgment or civil money penalty assessed against such person in an administrative proceeding or civil action commenced by any federal banking agency. Such insurance may, but need not, be for the benefit of all institution-affiliated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ELEVENTH. These articles of association may be amended at any regular or special meeting of the shareholders by the affirmative vote of the holders of a majority of the stock of this association, unless the vote of the holders of a greater amount of stock is required by law, and in that case by the vote of the holders of such greater amount. The association's board of directors may propose one or more amendments to the articles of association for submission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 OF 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as of March 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BYLAWS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Meetings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Annual Meeting</w:t>
      </w:r>
      <w:r>
        <w:rPr>
          <w:rFonts w:ascii="Times New Roman;Times;Serif" w:hAnsi="Times New Roman;Times;Serif"/>
          <w:b w:val="false"/>
          <w:i w:val="false"/>
          <w:caps w:val="false"/>
          <w:smallCaps w:val="false"/>
          <w:sz w:val="20"/>
        </w:rPr>
        <w:t>. The annual meeting of shareholders shall be held on such date and at such time as may be designated by the chair of the Board of Directors, the chief executive officer, the president, the chief operating officer, the secretary, or the Board of Directors for the purpose of the election of directors and for the transaction of such other business as may properly come before the meeting, except such date shall not be a legal holiday in Delaware. Notice of the meeting shall be mailed by first class mail, postage prepaid, at least 10 days and no more than 60 days prior to the date thereof, addressed to each shareholder at his or her address appearing on the books of the association. If, for any cause, an election of directors is not made on that date, an election may be held on any subsequent day within 60 days of the date fixed, to be designated by the Board of Directors, or, if the directors fail to fix the date, by shareholders representing two-thirds of the shares. In these circumstances, at least 10 days’ notice must be given by first class mail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Special Meetings</w:t>
      </w:r>
      <w:r>
        <w:rPr>
          <w:rFonts w:ascii="Times New Roman;Times;Serif" w:hAnsi="Times New Roman;Times;Serif"/>
          <w:b w:val="false"/>
          <w:i w:val="false"/>
          <w:caps w:val="false"/>
          <w:smallCaps w:val="false"/>
          <w:sz w:val="20"/>
        </w:rPr>
        <w:t>. The chair of the Board of Directors, the president, the chief executive officer, the secretary, or the Board of Directors may call a special meeting of the shareholders. A special meeting shall be called to act on any matter that may properly be considered at a meeting of shareholders upon the written request of shareholders entitled to cast not less than a majority of all the votes entitled to be cast on such matter at the meeting. Every such special meeting, unless otherwise provided by law, shall be called by mailing, postage prepaid, not less than 10 days nor more than 60 days prior to the date fixed for the meeting, to each shareholder at the address appearing on the books of the association a notice stating the purpose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fix a record date for determining shareholders entitled to notice and to vote at any meeting, in reasonable proximity to the date of giving notice to the shareholders of such meeting. The record date for determining shareholders entitled to demand a special meeting is the date the first shareholder signs a demand for the meeting describing the purpose or purposes for which it is to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Adjournment</w:t>
      </w:r>
      <w:r>
        <w:rPr>
          <w:rFonts w:ascii="Times New Roman;Times;Serif" w:hAnsi="Times New Roman;Times;Serif"/>
          <w:b w:val="false"/>
          <w:i w:val="false"/>
          <w:caps w:val="false"/>
          <w:smallCaps w:val="false"/>
          <w:sz w:val="20"/>
        </w:rPr>
        <w:t>. If an annual or special shareholders' meeting is adjourned to a different date, time, or place, notice need not be given of the new date, time or place, if the new date, time or place is announced at the meeting before adjournment, unless any additional items of business are to be considered, or the association becomes aware of an intervening event materially affecting any matter to be voted on more than 10 days prior to the date to which the meeting is adjourned. If a new record date for the adjourned meeting is fixed, however, notice of the adjourned meeting must be given to persons who are shareholders as of the new record date. If, however, the meeting to elect the directors is adjourned before the election takes place, at least ten days’ notice of the new election must be given to the shareholders by first-class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Nominations of Directors</w:t>
      </w:r>
      <w:r>
        <w:rPr>
          <w:rFonts w:ascii="Times New Roman;Times;Serif" w:hAnsi="Times New Roman;Times;Serif"/>
          <w:b w:val="false"/>
          <w:i w:val="false"/>
          <w:caps w:val="false"/>
          <w:smallCaps w:val="false"/>
          <w:sz w:val="20"/>
        </w:rPr>
        <w:t xml:space="preserve">. Nominations for election to the Board of Directors may be made by the Board of Directors or by any shareholder of any outstanding class of capital stock of the association entitled to vote for the election of directors. Nominations, other than those made by or on behalf of the existing management of the association, shall be made in writing and shall be delivered or mailed to the president of the association, not less than 14 days nor more than 50 days prior to any meeting of shareholders called for the election of directors;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if less than 21 days' notice of the meeting is given to shareholders, such nomination shall be mailed or delivered to the president of the association not later than the close of business on the seventh day following the day on which the notice of meeting was mailed. Such notification shall contain the following information to the extent known to the notifying shareholder: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581"/>
        <w:gridCol w:w="9548"/>
      </w:tblGrid>
      <w:tr>
        <w:trPr/>
        <w:tc>
          <w:tcPr>
            <w:tcW w:w="7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(1)</w:t>
            </w:r>
          </w:p>
        </w:tc>
        <w:tc>
          <w:tcPr>
            <w:tcW w:w="9548" w:type="dxa"/>
            <w:tcBorders/>
            <w:vAlign w:val="center"/>
          </w:tcPr>
          <w:p>
            <w:pPr>
              <w:pStyle w:val="TableContents"/>
              <w:bidi w:val="0"/>
              <w:spacing w:before="0" w:after="283"/>
              <w:jc w:val="left"/>
              <w:rPr/>
            </w:pPr>
            <w:r>
              <w:rPr/>
              <w:t>The name and address of each proposed nominee;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56"/>
        <w:gridCol w:w="9577"/>
      </w:tblGrid>
      <w:tr>
        <w:trPr/>
        <w:tc>
          <w:tcPr>
            <w:tcW w:w="7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pPr>
            <w:r>
              <w:rPr/>
              <w:t>(2)</w:t>
            </w:r>
          </w:p>
        </w:tc>
        <w:tc>
          <w:tcPr>
            <w:tcW w:w="9577" w:type="dxa"/>
            <w:tcBorders/>
            <w:vAlign w:val="center"/>
          </w:tcPr>
          <w:p>
            <w:pPr>
              <w:pStyle w:val="TableContents"/>
              <w:bidi w:val="0"/>
              <w:spacing w:before="0" w:after="283"/>
              <w:jc w:val="left"/>
              <w:rPr/>
            </w:pPr>
            <w:r>
              <w:rPr/>
              <w:t>The principal occupation of each proposed nominee;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8"/>
        <w:gridCol w:w="9880"/>
      </w:tblGrid>
      <w:tr>
        <w:trPr/>
        <w:tc>
          <w:tcPr>
            <w:tcW w:w="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(3)</w:t>
            </w:r>
          </w:p>
        </w:tc>
        <w:tc>
          <w:tcPr>
            <w:tcW w:w="9880" w:type="dxa"/>
            <w:tcBorders/>
            <w:vAlign w:val="center"/>
          </w:tcPr>
          <w:p>
            <w:pPr>
              <w:pStyle w:val="TableContents"/>
              <w:bidi w:val="0"/>
              <w:spacing w:before="0" w:after="283"/>
              <w:jc w:val="left"/>
              <w:rPr/>
            </w:pPr>
            <w:r>
              <w:rPr/>
              <w:t>The total number of shares of capital stock of the association that will be voted for each proposed nominee;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11"/>
        <w:gridCol w:w="9628"/>
      </w:tblGrid>
      <w:tr>
        <w:trPr/>
        <w:tc>
          <w:tcPr>
            <w:tcW w:w="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pPr>
            <w:r>
              <w:rPr/>
              <w:t>(4)</w:t>
            </w:r>
          </w:p>
        </w:tc>
        <w:tc>
          <w:tcPr>
            <w:tcW w:w="9628" w:type="dxa"/>
            <w:tcBorders/>
            <w:vAlign w:val="center"/>
          </w:tcPr>
          <w:p>
            <w:pPr>
              <w:pStyle w:val="TableContents"/>
              <w:bidi w:val="0"/>
              <w:spacing w:before="0" w:after="283"/>
              <w:jc w:val="left"/>
              <w:rPr/>
            </w:pPr>
            <w:r>
              <w:rPr/>
              <w:t>The name and residence of the notifying shareholder;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329"/>
        <w:gridCol w:w="9834"/>
      </w:tblGrid>
      <w:tr>
        <w:trPr/>
        <w:tc>
          <w:tcPr>
            <w:tcW w:w="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pPr>
            <w:r>
              <w:rPr/>
              <w:t>(5)</w:t>
            </w:r>
          </w:p>
        </w:tc>
        <w:tc>
          <w:tcPr>
            <w:tcW w:w="9834" w:type="dxa"/>
            <w:tcBorders/>
            <w:vAlign w:val="center"/>
          </w:tcPr>
          <w:p>
            <w:pPr>
              <w:pStyle w:val="TableContents"/>
              <w:bidi w:val="0"/>
              <w:spacing w:before="0" w:after="283"/>
              <w:jc w:val="left"/>
              <w:rPr/>
            </w:pPr>
            <w:r>
              <w:rPr/>
              <w:t>The number of shares of capital stock of the association owned by the notifying shareholder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Nominations not made in accordance herewith may, in his/her discretion, be disregarded by the chair of the meeting, and upon his/her instructions, all votes cast for each such nominee may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Proxies</w:t>
      </w:r>
      <w:r>
        <w:rPr>
          <w:rFonts w:ascii="Times New Roman;Times;Serif" w:hAnsi="Times New Roman;Times;Serif"/>
          <w:b w:val="false"/>
          <w:i w:val="false"/>
          <w:caps w:val="false"/>
          <w:smallCaps w:val="false"/>
          <w:sz w:val="20"/>
        </w:rPr>
        <w:t>. Shareholders may vote at any meeting of the shareholders by proxies duly authorized in writing, but no officer or employee of this association shall act as proxy. A director or an attorney of the association may act as proxy for shareholders voting if they are not also employed as an officer of the association. Proxies shall be valid only for one meeting, to be specified therein, and any adjournments of such meeting. Proxies shall be dated and filed with the records of the meeting. Proxies with facsimile signatures may be used and unexecuted proxies may be counted upon receipt of a written confirmation from the shareholder. Proxies meeting the above requirements submitted at any time during a meeting shall be accepted.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Quorum</w:t>
      </w:r>
      <w:r>
        <w:rPr>
          <w:rFonts w:ascii="Times New Roman;Times;Serif" w:hAnsi="Times New Roman;Times;Serif"/>
          <w:b w:val="false"/>
          <w:i w:val="false"/>
          <w:caps w:val="false"/>
          <w:smallCaps w:val="false"/>
          <w:sz w:val="20"/>
        </w:rPr>
        <w:t>. A majority of the outstanding capital stock, represented in person or by proxy, shall constitute a quorum at any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 If a meeting for the election of directors is not held on the fixed date, at least 10 days’ notice must be given by first-class mail to the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Board of Directors</w:t>
      </w:r>
      <w:r>
        <w:rPr>
          <w:rFonts w:ascii="Times New Roman;Times;Serif" w:hAnsi="Times New Roman;Times;Serif"/>
          <w:b w:val="false"/>
          <w:i w:val="false"/>
          <w:caps w:val="false"/>
          <w:smallCaps w:val="false"/>
          <w:sz w:val="20"/>
        </w:rPr>
        <w:t>. The Board of Directors shall have the power to manage and administer the business and affairs of the association. Except as expressly limited by law, all corporate powers of the association shall be vested in and may be exercised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Number</w:t>
      </w:r>
      <w:r>
        <w:rPr>
          <w:rFonts w:ascii="Times New Roman;Times;Serif" w:hAnsi="Times New Roman;Times;Serif"/>
          <w:b w:val="false"/>
          <w:i w:val="false"/>
          <w:caps w:val="false"/>
          <w:smallCaps w:val="false"/>
          <w:sz w:val="20"/>
        </w:rPr>
        <w:t>. The Board of Directors shall consist of not less than five nor more than twenty-five members, unless the OCC has exempted the association from the 25-member limit. The exact number within such minimum and maximum limits is to be fixed and determined from time to time by resolution of a majority of the full Board of Directors or by resolution of a majority of the shareholders at any meeting thereof. The Board of Directors may not increase the number of directors between meetings of shareholders to a number which: (a) exceeds by more than 2 the number of directors last elected by shareholders where the number was 15 or less; or (b) exceeds by more than 4 the number of directors last elected by shareholders where the number was 16 or more, but in no event shall the number of directors exceed 25, unless the OCC has exempted the association from the 25-member limit.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3. Qualifications. </w:t>
      </w:r>
      <w:r>
        <w:rPr>
          <w:rFonts w:ascii="Times New Roman;Times;Serif" w:hAnsi="Times New Roman;Times;Serif"/>
          <w:b w:val="false"/>
          <w:i w:val="false"/>
          <w:caps w:val="false"/>
          <w:smallCaps w:val="false"/>
          <w:sz w:val="20"/>
        </w:rPr>
        <w:t>Each director must be a citizen of the United States and must own in his or her own right either shares of the capital stock of the association or a company that controls the association that has not less than an aggregate par value of $1,000, an aggregate shareholders’ equity of $1,000, or an aggregate fair market value of $1,000. The value of the common or preferred stock held by a director is valued as of the date purchased or the date on which the individual became a director, whichever is greater.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Organization Meeting</w:t>
      </w:r>
      <w:r>
        <w:rPr>
          <w:rFonts w:ascii="Times New Roman;Times;Serif" w:hAnsi="Times New Roman;Times;Serif"/>
          <w:b w:val="false"/>
          <w:i w:val="false"/>
          <w:caps w:val="false"/>
          <w:smallCaps w:val="false"/>
          <w:sz w:val="20"/>
        </w:rPr>
        <w:t>. After each annual meeting of shareholders at which directors shall have been elected, the Board of Directors shall meet as soon as practicable for the purpose of organization and the transaction of other business. Such first regular meeting shall be held at any place as may be designated by the chair, the president or the Board of Directors for such first regular meeting or, in default of such designation, where the immediately preceding meeting of shareholders was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Regular Meetings</w:t>
      </w:r>
      <w:r>
        <w:rPr>
          <w:rFonts w:ascii="Times New Roman;Times;Serif" w:hAnsi="Times New Roman;Times;Serif"/>
          <w:b w:val="false"/>
          <w:i w:val="false"/>
          <w:caps w:val="false"/>
          <w:smallCaps w:val="false"/>
          <w:sz w:val="20"/>
        </w:rPr>
        <w:t>. Regular meetings of the Board of Directors shall be held on such dates and at such places as may be designated from time to time by the chair. No notice of regular meetings shall be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Special Meetings</w:t>
      </w:r>
      <w:r>
        <w:rPr>
          <w:rFonts w:ascii="Times New Roman;Times;Serif" w:hAnsi="Times New Roman;Times;Serif"/>
          <w:b w:val="false"/>
          <w:i w:val="false"/>
          <w:caps w:val="false"/>
          <w:smallCaps w:val="false"/>
          <w:sz w:val="20"/>
        </w:rPr>
        <w:t>. Special meetings of the Board of Directors may be called at any time by the chair, the chief executive officer, the president or by a majority of the then- acting directors by vote at a meeting or in writing, or by a majority of the members of the executive committee, if one is constituted, by vote at a meeting or in writing. A special meeting of the Board of Directors shall be held on such date and at any place as may be designated from time to time by the Board of Directors. In the absence of such designation, such meeting shall be held at such place as may be designated in the call. Each member of the Board of Directors shall be given notice stating the date, time and place, by letter, electronic delivery or in person, of each special meeting not less than one day before the meeting. Such notice need not specify the purpose for which the meeting is called, unless required by the Articles of Association or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Quorum</w:t>
      </w:r>
      <w:r>
        <w:rPr>
          <w:rFonts w:ascii="Times New Roman;Times;Serif" w:hAnsi="Times New Roman;Times;Serif"/>
          <w:b w:val="false"/>
          <w:i w:val="false"/>
          <w:caps w:val="false"/>
          <w:smallCaps w:val="false"/>
          <w:sz w:val="20"/>
        </w:rPr>
        <w:t>. A majority of the entire Board then in office shall constitute a quorum at any meeting, except when otherwise provided by law or these Bylaws, but a lesser number may adjourn any meeting, from time to time, and the meeting may be held, as adjourned, without further notice. If the number of directors present at the meeting is reduced below the number that would constitute a quorum, no business may be transacted, except selecting directors to fill vacancies in conformance with Article II, Section 11. If a quorum is present, the board of directors may take action through the vote of a majority of the directors who are in attendance. No director may vote by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 Attendance by Electronic, Telephonic or Similar Means. </w:t>
      </w:r>
      <w:r>
        <w:rPr>
          <w:rFonts w:ascii="Times New Roman;Times;Serif" w:hAnsi="Times New Roman;Times;Serif"/>
          <w:b w:val="false"/>
          <w:i w:val="false"/>
          <w:caps w:val="false"/>
          <w:smallCaps w:val="false"/>
          <w:sz w:val="20"/>
        </w:rPr>
        <w:t xml:space="preserve">Any one or more members of the Board of Directors or any committee thereof may participate in a regular or special meeting of such board or committee by, or conduct the meeting through the use of, </w:t>
      </w:r>
      <w:r>
        <w:rPr>
          <w:rFonts w:ascii="Times New Roman;Times;Serif" w:hAnsi="Times New Roman;Times;Serif"/>
          <w:b w:val="false"/>
          <w:i w:val="false"/>
          <w:caps w:val="false"/>
          <w:smallCaps w:val="false"/>
          <w:color w:val="333333"/>
          <w:sz w:val="20"/>
        </w:rPr>
        <w:t xml:space="preserve">conference telephone or other communications equipment </w:t>
      </w:r>
      <w:r>
        <w:rPr>
          <w:rFonts w:ascii="Times New Roman;Times;Serif" w:hAnsi="Times New Roman;Times;Serif"/>
          <w:b w:val="false"/>
          <w:i w:val="false"/>
          <w:caps w:val="false"/>
          <w:smallCaps w:val="false"/>
          <w:sz w:val="20"/>
        </w:rPr>
        <w:t>by which all directors or committee members participating may simultaneously hear each other during the meeting. Participation in a meeting by these means constitutes presence in person at a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 Procedures</w:t>
      </w:r>
      <w:r>
        <w:rPr>
          <w:rFonts w:ascii="Times New Roman;Times;Serif" w:hAnsi="Times New Roman;Times;Serif"/>
          <w:b w:val="false"/>
          <w:i w:val="false"/>
          <w:caps w:val="false"/>
          <w:smallCaps w:val="false"/>
          <w:sz w:val="20"/>
        </w:rPr>
        <w:t>. The order of business and all other matters of procedure at every meeting of the Board of Directors may be determined by the person presiding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 Removal of Directors</w:t>
      </w:r>
      <w:r>
        <w:rPr>
          <w:rFonts w:ascii="Times New Roman;Times;Serif" w:hAnsi="Times New Roman;Times;Serif"/>
          <w:b w:val="false"/>
          <w:i w:val="false"/>
          <w:caps w:val="false"/>
          <w:smallCaps w:val="false"/>
          <w:sz w:val="20"/>
        </w:rPr>
        <w:t>. Any director may be removed for cause at any meeting of shareholders, notice of which shall have referred to the proposed action, by vote of the shareholders. Any director may be removed without cause at any meeting of shareholders, notice of which shall have referred to the proposed action, by the vote of the holders of a majority of the shares of the association entitled to vote. Any director may be removed for cause at any meeting of the directors, notice of which shall have referred to the proposed action, by vote of a majority of the entire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 Vacancies</w:t>
      </w:r>
      <w:r>
        <w:rPr>
          <w:rFonts w:ascii="Times New Roman;Times;Serif" w:hAnsi="Times New Roman;Times;Serif"/>
          <w:b w:val="false"/>
          <w:i w:val="false"/>
          <w:caps w:val="false"/>
          <w:smallCaps w:val="false"/>
          <w:sz w:val="20"/>
        </w:rPr>
        <w:t>. When any vacancy occurs among the directors, a majority of the remaining members of the Board of Directors may appoint a director to fill such vacancy until the next election at any regular meeting of the Board of Directors, or at a special meeting called for that purpose at which a quorum is present, or if the directors remaining in office constitute fewer than a quorum of the Board of Directors, by the affirmative vote of a majority of all the directors remaining in office, or by shareholders at a special meeting called for that purpose in conformance with Section 2 of Article I. A vacancy that will occur at a specific later date (by reason of a resignation effective at a later date) may be filled before the vacancy occurs but the new director may not take office until the vacancy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 Consent of Directors without a Meeting</w:t>
      </w:r>
      <w:r>
        <w:rPr>
          <w:rFonts w:ascii="Times New Roman;Times;Serif" w:hAnsi="Times New Roman;Times;Serif"/>
          <w:b w:val="false"/>
          <w:i w:val="false"/>
          <w:caps w:val="false"/>
          <w:smallCaps w:val="false"/>
          <w:sz w:val="20"/>
        </w:rPr>
        <w:t>. Any action required or permitted to be taken at any meeting of the Board of Directors may be taken without a meeting if the action is taken by all members of the Board. The action may be evidenced by one or more written consents signed by each director before or after such action, describing the action taken, and included in the minutes or filed with the corporate records. A director’s consent to action taken without a meeting may be in electronic form and delivered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 Ratification</w:t>
      </w:r>
      <w:r>
        <w:rPr>
          <w:rFonts w:ascii="Times New Roman;Times;Serif" w:hAnsi="Times New Roman;Times;Serif"/>
          <w:b w:val="false"/>
          <w:i w:val="false"/>
          <w:caps w:val="false"/>
          <w:smallCaps w:val="false"/>
          <w:sz w:val="20"/>
        </w:rPr>
        <w:t>. The board of directors may ratify and make binding on the association any action or inaction by the association or its officers to the extent that the Board of Directors or the shareholders could have originally authorized the matter and as permitted by law. Moreover, any action or inaction questioned in any shareholders’ derivative proceeding or any other proceeding on the ground of lack of authority, defective or irregular execution, adverse interest of a director, officer or shareholder, non-disclosure, miscomputation, the application of improper principles or practices of accounting or otherwise, may be ratified, before or after judgment, by the Board of Directors or by the shareholders, and if so ratified, shall have the same force and effect as if the questioned action or inaction had been originally duly authorized, and such ratification shall be binding upon the shareholders and shall constitute a bar to any claim or execution of any judgment in respect of such questioned action or inaction.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Executive Committee</w:t>
      </w:r>
      <w:r>
        <w:rPr>
          <w:rFonts w:ascii="Times New Roman;Times;Serif" w:hAnsi="Times New Roman;Times;Serif"/>
          <w:b w:val="false"/>
          <w:i w:val="false"/>
          <w:caps w:val="false"/>
          <w:smallCaps w:val="false"/>
          <w:sz w:val="20"/>
        </w:rPr>
        <w:t>. The Board of Directors may appoint an Executive Committee, which shall have and may exercise, during the intervals between meetings of the Board of Directors, all the powers of the Board of Directors in the management of the business, properties and affairs of the association except as prohibited by law, the Articles of Association or these Bylaws. All acts done and powers conferred by the Executive Committee shall be deemed to be and may be certified as being, done or conferred under authority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2. Trust Audit Committee. </w:t>
      </w:r>
      <w:r>
        <w:rPr>
          <w:rFonts w:ascii="Times New Roman;Times;Serif" w:hAnsi="Times New Roman;Times;Serif"/>
          <w:b w:val="false"/>
          <w:i w:val="false"/>
          <w:caps w:val="false"/>
          <w:smallCaps w:val="false"/>
          <w:sz w:val="20"/>
        </w:rPr>
        <w:t>Unless delegated pursuant to Section 5 of this Article III, there shall be a Trust Audit Committee composed of not less than 2 directors, appointed by the Board of Directors, which shall, at least once during each calendar year make suitable audits of the association’s fiduciary activities or cause suitable audits to be made by auditors responsible only to the Board, and at such time shall ascertain whether fiduciary powers have been administered according to law, Part 9 of the Regulations of the Comptroller of the Currency, and sound fiduciary principles. Such committee: (1) must not include any officers of the association or an affiliate who participate significantly in the administration of the association’s fiduciary activities; and (2) must consist of a majority of members who are not also members of any committee to which the Board of Directors has delegated power to manage and control the fiduciary activities of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Examining Committee</w:t>
      </w:r>
      <w:r>
        <w:rPr>
          <w:rFonts w:ascii="Times New Roman;Times;Serif" w:hAnsi="Times New Roman;Times;Serif"/>
          <w:b w:val="false"/>
          <w:i w:val="false"/>
          <w:caps w:val="false"/>
          <w:smallCaps w:val="false"/>
          <w:sz w:val="20"/>
        </w:rPr>
        <w:t>. Unless delegated pursuant to Section 5 of this Article III, there shall be an examining committee composed of not less than 2 directors, exclusive of any active officers, appointed by the board of directors annually or more often. The duty of that committee shall be to examine at least once during each calendar year and within 15 months of the last examination the affairs of the association or cause suitable examinations to be made by auditors responsible only to the board of directors and to report the result of such examination in writing to the board of directors at the next regular meeting thereafter. Such report shall state whether the association is in a sound condition, and whether adequate internal controls and procedures are being maintained and shall recommend to the board of directors such changes in the manner of conducting the affairs of the association as shall be deemed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Other Committees</w:t>
      </w:r>
      <w:r>
        <w:rPr>
          <w:rFonts w:ascii="Times New Roman;Times;Serif" w:hAnsi="Times New Roman;Times;Serif"/>
          <w:b w:val="false"/>
          <w:i w:val="false"/>
          <w:caps w:val="false"/>
          <w:smallCaps w:val="false"/>
          <w:sz w:val="20"/>
        </w:rPr>
        <w:t>. The Board of Directors may from time to time by resolution adopted by affirmative vote of a majority of the Board of Directors, appoint other committees of the Board of Directors which shall have such powers and duties as the Board of Directors may properly determine. No such other committee of the Board of Directors shall be composed of fewer than three (3) directors. The Board of Directors may also appoint one or more directors as alternative members of a committee. All acts done and powers conferred by the Board of Directors on committees of the Board of Directors shall be deemed to be and may be certified as being, done or conferred under that authority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Delegation of Responsibility and Authority</w:t>
      </w:r>
      <w:r>
        <w:rPr>
          <w:rFonts w:ascii="Times New Roman;Times;Serif" w:hAnsi="Times New Roman;Times;Serif"/>
          <w:b w:val="false"/>
          <w:i w:val="false"/>
          <w:caps w:val="false"/>
          <w:smallCaps w:val="false"/>
          <w:sz w:val="20"/>
        </w:rPr>
        <w:t>. The responsibility, authority and constitution of any committee under this Article III may, if authorized by law, be given over to a duly constituted committee of the association’s parent corporation by resolution adopted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Officers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 Officers. </w:t>
      </w:r>
      <w:r>
        <w:rPr>
          <w:rFonts w:ascii="Times New Roman;Times;Serif" w:hAnsi="Times New Roman;Times;Serif"/>
          <w:b w:val="false"/>
          <w:i w:val="false"/>
          <w:caps w:val="false"/>
          <w:smallCaps w:val="false"/>
          <w:sz w:val="20"/>
        </w:rPr>
        <w:t>The Board of Directors shall annually, at the Annual Reorganization Meeting of the Board of Directors following the annual meeting of shareholders, appoint or elect a chair of the Board, a chief executive officer, a president, one (1) or more senior executive vice presidents, a corporate secretary, a treasurer, a chief auditor, and such other officers as it may determine, each to hold office until the next Annual Reorganization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below the level of senior executive vice president may be elected as follows: the head of the Human Resources Department of M&amp;T Bank, or his or her designee, may appoint officers up to and including (without limitation as to title or number) one (1) or more executive vice presidents, senior vice presidents, vice presidents, assistant vice presidents, assistant secretaries, assistant treasurers, and assistant auditors, and any other officer positions as they deem necessary and appropriate, except the chair of the board, chief executive officer, president, any “Executive Officer” of the association for the purposes of Regulation O (codified at 12 C.F.R. §215.2(e)(1)), and any “Senior Executive Officer” within the meaning of 12 C.F.R. §5.51(c)(4) may only be appointed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Chair of the Board</w:t>
      </w:r>
      <w:r>
        <w:rPr>
          <w:rFonts w:ascii="Times New Roman;Times;Serif" w:hAnsi="Times New Roman;Times;Serif"/>
          <w:b w:val="false"/>
          <w:i w:val="false"/>
          <w:caps w:val="false"/>
          <w:smallCaps w:val="false"/>
          <w:sz w:val="20"/>
        </w:rPr>
        <w:t>. The Board of Directors shall appoint one of its members to be the chair of the Board to serve at its pleasure. Such person shall preside at all meetings of the Board of Directors. The chair of the Board shall supervise the carrying out of the policies adopted or approved by the Board of Directors; shall have general executive powers, as well as the specific powers conferred by these Bylaws; and shall also have and may exercise such further powers and duties as from time to time may be conferred upon or assigned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President</w:t>
      </w:r>
      <w:r>
        <w:rPr>
          <w:rFonts w:ascii="Times New Roman;Times;Serif" w:hAnsi="Times New Roman;Times;Serif"/>
          <w:b w:val="false"/>
          <w:i w:val="false"/>
          <w:caps w:val="false"/>
          <w:smallCaps w:val="false"/>
          <w:sz w:val="20"/>
        </w:rPr>
        <w:t>. The Board of Directors shall appoint one of its members to be the president of the association. The president shall be a member of the Board of Directors. In the absence of the chair, the president shall preside at any meeting of the Board of Directors. The president shall have general executive powers and shall have and may exercise any and all other powers and duties pertaining by law, regulation, or practice to the office of president, or imposed by these Bylaws. The president shall also have and may exercise such further powers and duties as from time to time may be conferred or assigned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Vice President</w:t>
      </w:r>
      <w:r>
        <w:rPr>
          <w:rFonts w:ascii="Times New Roman;Times;Serif" w:hAnsi="Times New Roman;Times;Serif"/>
          <w:b w:val="false"/>
          <w:i w:val="false"/>
          <w:caps w:val="false"/>
          <w:smallCaps w:val="false"/>
          <w:sz w:val="20"/>
        </w:rPr>
        <w:t>. The Board of Directors may appoint one or more vice presidents. Each vice president shall have such powers and duties as may be assigned by the Board of Directors. One vice president shall be designated by the Board of Directors, in the absence of the president, to perform all the duties of the president.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 Secretary</w:t>
      </w:r>
      <w:r>
        <w:rPr>
          <w:rFonts w:ascii="Times New Roman;Times;Serif" w:hAnsi="Times New Roman;Times;Serif"/>
          <w:b w:val="false"/>
          <w:i w:val="false"/>
          <w:caps w:val="false"/>
          <w:smallCaps w:val="false"/>
          <w:sz w:val="20"/>
        </w:rPr>
        <w:t>. The Board of Directors shall appoint a secretary or other designated officer who shall be secretary of the Board of Directors and of the association and who shall keep accurate minutes of all meetings. The secretary shall attend to the giving of all notices required by these Bylaws; shall be custodian of the corporate seal, records, documents and papers of the association; shall provide for the keeping of proper records of all transactions of the association; shall have and may exercise any and all other powers and duties pertaining by law, regulation or practice, or imposed by these bylaws; and shall also perform such other duties as may be assigned from time to time,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 Other Officers</w:t>
      </w:r>
      <w:r>
        <w:rPr>
          <w:rFonts w:ascii="Times New Roman;Times;Serif" w:hAnsi="Times New Roman;Times;Serif"/>
          <w:b w:val="false"/>
          <w:i w:val="false"/>
          <w:caps w:val="false"/>
          <w:smallCaps w:val="false"/>
          <w:sz w:val="20"/>
        </w:rPr>
        <w:t>. The Board of Directors may appoint one or more assistant vice presidents, one or more trust officers, one or more officers, one or more assistant secretaries, one or more assistant treasurers, one or more managers and assistant managers of branches and such other officers and attorneys in fact as from time to time may appear to the Board of Directors to be required or desirable to transact the business of the association. Such officers shall respectively exercise such powers and perform such duties as pertain to their several offices, or as may be conferred upon or assigned to them by the Board of Directors, the chair of the Board, or the president. The Board of Directors may authorize an officer to appoint one or more officers or assistant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 Resignation</w:t>
      </w:r>
      <w:r>
        <w:rPr>
          <w:rFonts w:ascii="Times New Roman;Times;Serif" w:hAnsi="Times New Roman;Times;Serif"/>
          <w:b w:val="false"/>
          <w:i w:val="false"/>
          <w:caps w:val="false"/>
          <w:smallCaps w:val="false"/>
          <w:sz w:val="20"/>
        </w:rPr>
        <w:t>. An officer may resign at any time by delivering notice to the association. A resignation is effective when the notice is given unless the notice specifies a later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Stock and Stock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Transfers</w:t>
      </w:r>
      <w:r>
        <w:rPr>
          <w:rFonts w:ascii="Times New Roman;Times;Serif" w:hAnsi="Times New Roman;Times;Serif"/>
          <w:b w:val="false"/>
          <w:i w:val="false"/>
          <w:caps w:val="false"/>
          <w:smallCaps w:val="false"/>
          <w:sz w:val="20"/>
        </w:rPr>
        <w:t>. Shares of stock shall be transferable on the books of the association, and a transfer book shall be kept in which all transfers of stock shall be recorded. Every person becoming a shareholder by such transfer shall in proportion to such shareholder's shares, succeed to all rights of the prior holder of such shares. The Board of Directors may impose conditions upon the transfer of the stock reasonably calculated to simplify the work of the association with respect to stock transfers, voting at shareholder meetings and related matters and to protect it against fraudulent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Stock Certificates</w:t>
      </w:r>
      <w:r>
        <w:rPr>
          <w:rFonts w:ascii="Times New Roman;Times;Serif" w:hAnsi="Times New Roman;Times;Serif"/>
          <w:b w:val="false"/>
          <w:i w:val="false"/>
          <w:caps w:val="false"/>
          <w:smallCaps w:val="false"/>
          <w:sz w:val="20"/>
        </w:rPr>
        <w:t>. Certificates of stock shall bear the signature of the president (which may be engraved, printed or impressed) and shall be signed manually, by facsimile process, or electronic means by the secretary, assistant secretary, treasurer, assistant treasurer, or any other officer appointed by the Board of Directors for that purpose, to be known as an authorized officer, and the seal of the association shall be engraved thereon. Each certificate shall recite on its face that the stock represented thereby is transferable only upon the books of the association properly endorsed and otherwise comply with the requirements of 12 U.S.C. 52 and 12 C.F.R. §7.2016(b).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Lost, Stolen or Destroyed Certificates</w:t>
      </w:r>
      <w:r>
        <w:rPr>
          <w:rFonts w:ascii="Times New Roman;Times;Serif" w:hAnsi="Times New Roman;Times;Serif"/>
          <w:b w:val="false"/>
          <w:i w:val="false"/>
          <w:caps w:val="false"/>
          <w:smallCaps w:val="false"/>
          <w:sz w:val="20"/>
        </w:rPr>
        <w:t>. In case any certificate representing shares shall be lost, stolen or destroyed, the Board of Directors, in its discretion, or any officer or officers thereunder duly authorized by the Board of Directors, may authorize the issue of a substitute certificate or substitute shares in uncertificated form in the place of the certificate so lost, stolen or destroyed.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 Fixing of Record Date</w:t>
      </w:r>
      <w:r>
        <w:rPr>
          <w:rFonts w:ascii="Times New Roman;Times;Serif" w:hAnsi="Times New Roman;Times;Serif"/>
          <w:b w:val="false"/>
          <w:i w:val="false"/>
          <w:caps w:val="false"/>
          <w:smallCaps w:val="false"/>
          <w:sz w:val="20"/>
        </w:rPr>
        <w:t>. The Board of Directors may set, in advance, a record date for the purpose of determining shareholders entitled to notice of or to vote at any meeting of shareholders or determining shareholders entitled to receive payment of any dividend or the allotment of any other rights, in order to make a determination of shareholders for any other proper purpose. Such date, in any case, shall be the close of business on the day before the first notice is mailed or otherwise sent to the shareholders, provided that in no event may a record date be more than 10 days before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Corporate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Seal</w:t>
      </w:r>
      <w:r>
        <w:rPr>
          <w:rFonts w:ascii="Times New Roman;Times;Serif" w:hAnsi="Times New Roman;Times;Serif"/>
          <w:b w:val="false"/>
          <w:i w:val="false"/>
          <w:caps w:val="false"/>
          <w:smallCaps w:val="false"/>
          <w:sz w:val="20"/>
        </w:rPr>
        <w:t>. The seal of the association shall be in such form as may be determined from time to time by the Board of Directors. The president, the treasurer, the secretary or any assistant treasurer or assistant secretary, or other officer thereunto designated by the Board of Directors shall have authority to affix the corporate seal to any document requiring such seal and to attest the same. The seal on any corporate obligation for the payment of money may be facsimile.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Fiscal Year</w:t>
      </w:r>
      <w:r>
        <w:rPr>
          <w:rFonts w:ascii="Times New Roman;Times;Serif" w:hAnsi="Times New Roman;Times;Serif"/>
          <w:b w:val="false"/>
          <w:i w:val="false"/>
          <w:caps w:val="false"/>
          <w:smallCaps w:val="false"/>
          <w:sz w:val="20"/>
        </w:rPr>
        <w:t>. The fiscal year of the association shall be the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Execution of Instruments</w:t>
      </w:r>
      <w:r>
        <w:rPr>
          <w:rFonts w:ascii="Times New Roman;Times;Serif" w:hAnsi="Times New Roman;Times;Serif"/>
          <w:b w:val="false"/>
          <w:i w:val="false"/>
          <w:caps w:val="false"/>
          <w:smallCaps w:val="false"/>
          <w:sz w:val="20"/>
        </w:rPr>
        <w:t>. All agreements, indentures, mortgages, deeds, conveyances, transfers, certificates, declarations, receipts, discharges, releases, satisfactions, settlements, petitions, schedules, accounts, affidavits, bonds, undertakings, proxies and other instruments or documents may be signed, executed, acknowledged, verified, delivered or accepted on behalf of the association by any officer elected or appointed pursuant to Article IV of these Bylaws. Any such instruments may also be executed, acknowledged, verified, delivered or accepted on behalf of the association in such other manner and by such other officers as the Board of Directors may from time to time direct. The provisions of this Section 2 are supplementary to any other provision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 Records</w:t>
      </w:r>
      <w:r>
        <w:rPr>
          <w:rFonts w:ascii="Times New Roman;Times;Serif" w:hAnsi="Times New Roman;Times;Serif"/>
          <w:b w:val="false"/>
          <w:i w:val="false"/>
          <w:caps w:val="false"/>
          <w:smallCaps w:val="false"/>
          <w:sz w:val="20"/>
        </w:rPr>
        <w:t>. The Articles of Association, the Bylaws and the proceedings of all meetings of the shareholders, the Board of Directors, and standing committees of the Board of Directors shall be recorded in appropriate minute books provided for that purpose. The minutes of each meeting shall be signed by the secretary, treasurer or other officer appointed to act as secretary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4. Corporate Governance Procedures. </w:t>
      </w:r>
      <w:r>
        <w:rPr>
          <w:rFonts w:ascii="Times New Roman;Times;Serif" w:hAnsi="Times New Roman;Times;Serif"/>
          <w:b w:val="false"/>
          <w:i w:val="false"/>
          <w:caps w:val="false"/>
          <w:smallCaps w:val="false"/>
          <w:sz w:val="20"/>
        </w:rPr>
        <w:t>To the extent not inconsistent with federal banking statutes and regulations, or safe and sound banking practices, the association may follow the Delaware General Corporation Law, Del. Code Ann. tit. 8 (1991, as amended 1994, and as amended thereafter) with respect to matters of corporate governance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5. Indemnification. </w:t>
      </w:r>
      <w:r>
        <w:rPr>
          <w:rFonts w:ascii="Times New Roman;Times;Serif" w:hAnsi="Times New Roman;Times;Serif"/>
          <w:b w:val="false"/>
          <w:i w:val="false"/>
          <w:caps w:val="false"/>
          <w:smallCaps w:val="false"/>
          <w:sz w:val="20"/>
        </w:rPr>
        <w:t>For purposes of this Section 5 of Article VIII, the term “institution-affiliated party” shall mean any institution-affiliated party of the association as such term is defined in 12 U.S.C. 1813(u).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institution-affiliated party (or his or her heirs, executors or administrators) may be indemnified or reimbursed by the association for reasonable expenses actually incurred in connection with any threatened, pending or completed actions or proceedings and appeals therein, whether civil, criminal, governmental, administrative or investigative, in accordance with and to the fullest extent permitted by law, as such law now or hereafter exists; provided, however, that when an administrative proceeding or action instituted by a federal banking agency results in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then the association shall require the repayment of all legal fees and expenses advanced pursuant to the next succeeding paragraph and may not indemnify such institution-affiliated parties (or their heirs, executors or administrators) for expenses, including expenses for legal fees, penalties or other payments incurred. The association shall provide indemnification in connection with an action or proceeding (or part thereof) initiated by an institution-affiliated party (or by his or her heirs, executors or administrators) only if such action or proceeding (or part thereof) was authorized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by an institution-affiliated party (or by his or her heirs, executors or administrators) in connection with any action or proceeding under 12 U.S.C. 164 or 1818 may be paid by the association in advance of the final disposition of such action or proceeding upon (a) a determination by the Board of Directors acting by a quorum consisting of directors who are not parties to such action or proceeding that the institution-affiliated party (or his or her heirs, executors or administrators) has a reasonable basis for prevailing on the merits, (b) a determination that the indemnified individual (or his or her heirs, executors or administrators) will have the financial capacity to reimburse the association in the event he or she does not prevail, (c) a determination that the payment of expenses and fees by the association will not adversely affect the safety and soundness of the association, and (d) receipt of an undertaking by or on behalf of such institution-affiliated party (or by his or her heirs, executors or administrators) to repay such advancement in the event of a final order or settlement pursuant to which such person: (i) is assessed a civil money penalty, (ii) is removed from office or prohibited from participating in the conduct of the affairs of the association, or (iii) is required to cease and desist from or to take any affirmative action described in 12 U.S.C. 1818(b) with respect to the association. In all other instances, expenses incurred by an institution-affiliated party (or by his or her heirs, executors or administrators) in connection with any action or proceeding as to which indemnification may be given under the Articles of Association may be paid by the association in advance of the final disposition of such action or proceeding upon (a) receipt of an undertaking by or on behalf of such institution-affiliated party (or by or on behalf of his or her heirs, executors or administrators) to repay such advancement in the event that such institution- affiliated party (or his or her heirs, executors or administrators) is ultimately found not to be entitled to indemnification as authorized by these Bylaws and (b) approval by the Board of Directors acting by a quorum consisting of directors who are not parties to such action or proceeding or, if such a quorum is not obtainable, then approval by shareholders. To the extent permitted by law, the Board of Directors or, if applicable, the shareholders, shall not be required to find that the institution-affiliated party has met the applicable standard of conduct provided by law for indemnification in connection with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 majority of the members of the Board of Directors are named as respondents in an administrative proceeding or civil action and request indemnification, the remaining members of the Board may authorize independent legal counsel to review the indemnification request and provide the remaining members of the Board with a written opinion of counsel as to whether the conditions delineated in the first four paragraphs of this Section 5 of Article VIII have been met. If independent legal counsel opines that said conditions have been met, the remaining members of the Board of Directors may rely on such opinion in authorizing the requested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all of the members of the Board of Directors are named as respondents in an administrative proceeding or civil action and request indemnification, the Board shall authorize independent legal counsel to review the indemnification request and provide the Board with a written opinion of counsel as to whether the conditions delineated in the first four paragraphs of this Section 5 of Article VIII have been met. If legal counsel opines that said conditions have been met, the Board of Directors may rely on such opinion in authorizing the requested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under applicable law, the rights of indemnification and to the advancement of expenses provided in the Articles of Association (a) shall be available with respect to events occurring prior to the adoption of these Bylaws, (b) shall continue to exist after any restrictive amendment of these Bylaws with respect to events occurring prior to such amendment, (c) may be interpreted on the basis of applicable law in effect at the time of the occurrence of the event or events giving rise to the action or proceeding, or on the basis of applicable law in effect at the time such rights are claimed, and (d) are in the nature of contract rights which may be enforced in any court of competent jurisdiction as if the association and the institution-affiliated party (or his or her heirs, executors or administrators) for whom such rights are sought were parties to a separate written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indemnification and to the advancement of expenses provided in these Bylaws shall not, to the extent permitted under applicable law, be deemed exclusive of any other rights to which any such institution-affiliated party (or his or her heirs, executors or administrators) may now or hereafter be otherwise entitled whether contained in the association’s Articles of Association, these Bylaws, a resolution of shareholders, a resolution of the Board of Directors, or an agreement providing such indemnification, the creation of such other rights being hereby expressly authorized. Without limiting the generality of the foregoing, the rights of indemnification and to the advancement of expenses provided in these Bylaws shall not be deemed exclusive of any rights, pursuant to statute or otherwise, of any such institution-affiliated party (or of his or her heirs, executors or administrators) in any such action or proceeding to have assessed or allowed in his or her favor, against the association or otherwise, his or her costs and expenses incurred therein or in connection therewith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Section 5 of Article VIII or any part hereof shall be held unenforceable in any respect by a court of competent jurisdiction, it shall be deemed modified to the minimum extent necessary to make it enforceable, and the remainder of this Section 5 of Article VIII shall remain fully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association may, upon affirmative vote of a majority of its Board of Directors, purchase insurance to indemnify its institution-affiliated parties to the extent that such indemnification is allowed in these Bylaws; provided, however, that no such insurance shall include coverage for a final order assessing civil money penalties against such persons by a bank regulatory agency. Such insurance may, but need not, be for the benefit of all institution- affiliated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Inspection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 Inspection</w:t>
      </w:r>
      <w:r>
        <w:rPr>
          <w:rFonts w:ascii="Times New Roman;Times;Serif" w:hAnsi="Times New Roman;Times;Serif"/>
          <w:b w:val="false"/>
          <w:i w:val="false"/>
          <w:caps w:val="false"/>
          <w:smallCaps w:val="false"/>
          <w:sz w:val="20"/>
        </w:rPr>
        <w:t>. A copy of the bylaws of the association, with all amendments, shall at all times be kept in a convenient place at the main office of the association, and shall be open for inspection to all shareholders during banking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 Amendments</w:t>
      </w:r>
      <w:r>
        <w:rPr>
          <w:rFonts w:ascii="Times New Roman;Times;Serif" w:hAnsi="Times New Roman;Times;Serif"/>
          <w:b w:val="false"/>
          <w:i w:val="false"/>
          <w:caps w:val="false"/>
          <w:smallCaps w:val="false"/>
          <w:sz w:val="20"/>
        </w:rPr>
        <w:t>. The Board of Directors shall have the power, at any regular or special meeting thereof, to amend, alter or repeal the bylaws of the association, or to make and adopt new bylaws. These Bylaws may be amended, altered or repealed and new bylaws may be adopted by the shareholders of the association to the extent and as permitted in the Articles of Association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xml:space="preserve">– </w:t>
      </w:r>
      <w:r>
        <w:rPr>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321(b)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321(b) of the Trust Indenture Act of 1939, as amended, Wilmington Trust, National Association hereby consents that reports of examinations by Federal, State, Territorial or District authorities may be furnished by such authorities to the Securities and Exchange Commission upon requests therefor.</w:t>
      </w:r>
    </w:p>
    <w:p>
      <w:pPr>
        <w:pStyle w:val="TextBody"/>
        <w:bidi w:val="0"/>
        <w:spacing w:before="0" w:after="0"/>
        <w:ind w:left="0" w:right="0" w:hanging="0"/>
        <w:jc w:val="left"/>
        <w:rPr>
          <w:caps w:val="false"/>
          <w:smallCaps w:val="false"/>
        </w:rPr>
      </w:pPr>
      <w:r>
        <w:rPr>
          <w:caps w:val="false"/>
          <w:smallCaps w:val="false"/>
        </w:rPr>
        <w:t> </w:t>
      </w:r>
    </w:p>
    <w:tbl>
      <w:tblPr>
        <w:tblW w:w="6684" w:type="dxa"/>
        <w:jc w:val="left"/>
        <w:tblInd w:w="0" w:type="dxa"/>
        <w:tblLayout w:type="fixed"/>
        <w:tblCellMar>
          <w:top w:w="0" w:type="dxa"/>
          <w:left w:w="0" w:type="dxa"/>
          <w:bottom w:w="0" w:type="dxa"/>
          <w:right w:w="0" w:type="dxa"/>
        </w:tblCellMar>
      </w:tblPr>
      <w:tblGrid>
        <w:gridCol w:w="2030"/>
        <w:gridCol w:w="60"/>
        <w:gridCol w:w="636"/>
        <w:gridCol w:w="3958"/>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tc>
      </w:tr>
      <w:tr>
        <w:trPr/>
        <w:tc>
          <w:tcPr>
            <w:tcW w:w="6684" w:type="dxa"/>
            <w:gridSpan w:val="4"/>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Dated: </w:t>
            </w:r>
            <w:r>
              <w:rPr>
                <w:rFonts w:ascii="Times New Roman;Times;Serif" w:hAnsi="Times New Roman;Times;Serif"/>
                <w:b w:val="false"/>
                <w:i w:val="false"/>
                <w:caps w:val="false"/>
                <w:smallCaps w:val="false"/>
                <w:sz w:val="20"/>
                <w:u w:val="single"/>
              </w:rPr>
              <w:t>October 21, 2026</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958" w:type="dxa"/>
            <w:tcBorders>
              <w:bottom w:val="single" w:sz="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Chad May</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3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Chad May</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636" w:type="dxa"/>
            <w:tcBorders/>
            <w:vAlign w:val="center"/>
          </w:tcPr>
          <w:p>
            <w:pPr>
              <w:pStyle w:val="TableContents"/>
              <w:bidi w:val="0"/>
              <w:spacing w:before="0" w:after="283"/>
              <w:jc w:val="left"/>
              <w:rPr>
                <w:caps w:val="false"/>
                <w:smallCaps w:val="false"/>
              </w:rPr>
            </w:pPr>
            <w:r>
              <w:rPr>
                <w:caps w:val="false"/>
                <w:smallCaps w:val="false"/>
              </w:rPr>
              <w:t> </w:t>
            </w:r>
          </w:p>
        </w:tc>
        <w:tc>
          <w:tcPr>
            <w:tcW w:w="39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 E P O R T O F C O N D I T I O 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TRUST, NATIONAL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close of business on June 30, 2026</w:t>
      </w:r>
    </w:p>
    <w:p>
      <w:pPr>
        <w:pStyle w:val="TextBody"/>
        <w:bidi w:val="0"/>
        <w:spacing w:before="0" w:after="0"/>
        <w:ind w:left="0" w:right="0" w:hanging="0"/>
        <w:jc w:val="left"/>
        <w:rPr>
          <w:caps w:val="false"/>
          <w:smallCaps w:val="false"/>
        </w:rPr>
      </w:pPr>
      <w:r>
        <w:rPr>
          <w:caps w:val="false"/>
          <w:smallCaps w:val="false"/>
        </w:rPr>
        <w:t> </w:t>
      </w:r>
    </w:p>
    <w:tbl>
      <w:tblPr>
        <w:tblW w:w="7689" w:type="dxa"/>
        <w:jc w:val="left"/>
        <w:tblInd w:w="0" w:type="dxa"/>
        <w:tblLayout w:type="fixed"/>
        <w:tblCellMar>
          <w:top w:w="0" w:type="dxa"/>
          <w:left w:w="0" w:type="dxa"/>
          <w:bottom w:w="28" w:type="dxa"/>
          <w:right w:w="0" w:type="dxa"/>
        </w:tblCellMar>
      </w:tblPr>
      <w:tblGrid>
        <w:gridCol w:w="5735"/>
        <w:gridCol w:w="60"/>
        <w:gridCol w:w="144"/>
        <w:gridCol w:w="1675"/>
        <w:gridCol w:w="75"/>
      </w:tblGrid>
      <w:tr>
        <w:trPr/>
        <w:tc>
          <w:tcPr>
            <w:tcW w:w="573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 of Dollars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balances due from depository institutions: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647,566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sold and securities purchased under agreement to resell: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held for sale: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and leases net of unearned income, allowance: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Premises and fixed asset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real estate owned: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unconsolidated subsidiaries and associated companies: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 and indirect investments in real estate ventures: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76,857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573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772,076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8094" w:type="dxa"/>
        <w:jc w:val="left"/>
        <w:tblInd w:w="0" w:type="dxa"/>
        <w:tblLayout w:type="fixed"/>
        <w:tblCellMar>
          <w:top w:w="0" w:type="dxa"/>
          <w:left w:w="0" w:type="dxa"/>
          <w:bottom w:w="28" w:type="dxa"/>
          <w:right w:w="0" w:type="dxa"/>
        </w:tblCellMar>
      </w:tblPr>
      <w:tblGrid>
        <w:gridCol w:w="6140"/>
        <w:gridCol w:w="60"/>
        <w:gridCol w:w="167"/>
        <w:gridCol w:w="1652"/>
        <w:gridCol w:w="75"/>
      </w:tblGrid>
      <w:tr>
        <w:trPr/>
        <w:tc>
          <w:tcPr>
            <w:tcW w:w="614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 of Dollars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funds purchased and securities sold under agreements to repurchase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borrowed money: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85,934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14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90,870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474" w:type="dxa"/>
        <w:jc w:val="left"/>
        <w:tblInd w:w="0" w:type="dxa"/>
        <w:tblLayout w:type="fixed"/>
        <w:tblCellMar>
          <w:top w:w="0" w:type="dxa"/>
          <w:left w:w="0" w:type="dxa"/>
          <w:bottom w:w="28" w:type="dxa"/>
          <w:right w:w="0" w:type="dxa"/>
        </w:tblCellMar>
      </w:tblPr>
      <w:tblGrid>
        <w:gridCol w:w="3500"/>
        <w:gridCol w:w="60"/>
        <w:gridCol w:w="144"/>
        <w:gridCol w:w="1675"/>
        <w:gridCol w:w="95"/>
      </w:tblGrid>
      <w:tr>
        <w:trPr/>
        <w:tc>
          <w:tcPr>
            <w:tcW w:w="35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CAPITAL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 of Dollars</w:t>
            </w:r>
          </w:p>
        </w:tc>
        <w:tc>
          <w:tcPr>
            <w:tcW w:w="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Surplus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364,355</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315,854</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Capital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681,206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 Capital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7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772,076</w:t>
            </w:r>
          </w:p>
        </w:tc>
        <w:tc>
          <w:tcPr>
            <w:tcW w:w="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41" w:name="tm2627635d1_ex-filingfees.htm"/>
      <w:bookmarkStart w:id="42" w:name="kstm2627635d1_exfilingfees"/>
      <w:bookmarkStart w:id="43" w:name="tm2627635d1_ex-filingfees.htm"/>
      <w:bookmarkStart w:id="44" w:name="kstm2627635d1_exfilingfees"/>
      <w:bookmarkEnd w:id="43"/>
      <w:bookmarkEnd w:id="44"/>
      <w:r>
        <w:br w:type="page"/>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United Airlines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224" w:type="dxa"/>
        <w:jc w:val="left"/>
        <w:tblInd w:w="0" w:type="dxa"/>
        <w:tblLayout w:type="fixed"/>
        <w:tblCellMar>
          <w:top w:w="28" w:type="dxa"/>
          <w:left w:w="28" w:type="dxa"/>
          <w:bottom w:w="28" w:type="dxa"/>
          <w:right w:w="28" w:type="dxa"/>
        </w:tblCellMar>
      </w:tblPr>
      <w:tblGrid>
        <w:gridCol w:w="1126"/>
        <w:gridCol w:w="346"/>
        <w:gridCol w:w="946"/>
        <w:gridCol w:w="1291"/>
        <w:gridCol w:w="1276"/>
        <w:gridCol w:w="1186"/>
        <w:gridCol w:w="1156"/>
        <w:gridCol w:w="115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34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2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Common Stock of United Airlines Holdings, Inc., $0.01 par value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Preferred Stock of United Airlines Holdings, Inc., without par value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of United Airlines Holdings,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Guarantees of United Airlines Holdings, Inc.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1291" w:type="dxa"/>
            <w:tcBorders/>
            <w:shd w:fill="E7E7E2" w:val="clear"/>
            <w:vAlign w:val="center"/>
          </w:tcPr>
          <w:p>
            <w:pPr>
              <w:pStyle w:val="TableContents"/>
              <w:bidi w:val="0"/>
              <w:spacing w:before="0" w:after="283"/>
              <w:jc w:val="left"/>
              <w:rPr/>
            </w:pPr>
            <w:r>
              <w:rPr/>
              <w:t xml:space="preserve">Depositary Shares of United Airlines Holdings,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Stock Purchase Contracts of United Airlines Holdings,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Stock Purchase Units of United Airlines Holdings,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Subscription Rights of United Airlines Holdings,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9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Warrants of United Airlines Holdings, Inc.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10 </w:t>
            </w:r>
          </w:p>
        </w:tc>
        <w:tc>
          <w:tcPr>
            <w:tcW w:w="946" w:type="dxa"/>
            <w:tcBorders/>
            <w:shd w:fill="E7E7E2" w:val="clear"/>
            <w:vAlign w:val="center"/>
          </w:tcPr>
          <w:p>
            <w:pPr>
              <w:pStyle w:val="TableContents"/>
              <w:bidi w:val="0"/>
              <w:spacing w:before="0" w:after="283"/>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Debt Securities of United Airlines,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11 </w:t>
            </w:r>
          </w:p>
        </w:tc>
        <w:tc>
          <w:tcPr>
            <w:tcW w:w="946" w:type="dxa"/>
            <w:tcBorders/>
            <w:shd w:fill="E7E7E2" w:val="clear"/>
            <w:vAlign w:val="center"/>
          </w:tcPr>
          <w:p>
            <w:pPr>
              <w:pStyle w:val="TableContents"/>
              <w:bidi w:val="0"/>
              <w:spacing w:before="0" w:after="283"/>
              <w:jc w:val="left"/>
              <w:rPr/>
            </w:pPr>
            <w:r>
              <w:rPr/>
              <w:t xml:space="preserve">Other </w:t>
            </w:r>
          </w:p>
        </w:tc>
        <w:tc>
          <w:tcPr>
            <w:tcW w:w="1291" w:type="dxa"/>
            <w:tcBorders/>
            <w:shd w:fill="E7E7E2" w:val="clear"/>
            <w:vAlign w:val="center"/>
          </w:tcPr>
          <w:p>
            <w:pPr>
              <w:pStyle w:val="TableContents"/>
              <w:bidi w:val="0"/>
              <w:spacing w:before="0" w:after="283"/>
              <w:jc w:val="left"/>
              <w:rPr/>
            </w:pPr>
            <w:r>
              <w:rPr/>
              <w:t xml:space="preserve">Guarantees of United Airlines, Inc.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346" w:type="dxa"/>
            <w:tcBorders/>
            <w:shd w:fill="E7E7E2" w:val="clear"/>
            <w:vAlign w:val="center"/>
          </w:tcPr>
          <w:p>
            <w:pPr>
              <w:pStyle w:val="TableContents"/>
              <w:bidi w:val="0"/>
              <w:spacing w:before="0" w:after="283"/>
              <w:jc w:val="center"/>
              <w:rPr/>
            </w:pPr>
            <w:r>
              <w:rPr/>
              <w:t xml:space="preserve">12 </w:t>
            </w:r>
          </w:p>
        </w:tc>
        <w:tc>
          <w:tcPr>
            <w:tcW w:w="946" w:type="dxa"/>
            <w:tcBorders/>
            <w:shd w:fill="E7E7E2" w:val="clear"/>
            <w:vAlign w:val="center"/>
          </w:tcPr>
          <w:p>
            <w:pPr>
              <w:pStyle w:val="TableContents"/>
              <w:bidi w:val="0"/>
              <w:spacing w:before="0" w:after="283"/>
              <w:jc w:val="left"/>
              <w:rPr/>
            </w:pPr>
            <w:r>
              <w:rPr/>
              <w:t xml:space="preserve">Debt </w:t>
            </w:r>
          </w:p>
        </w:tc>
        <w:tc>
          <w:tcPr>
            <w:tcW w:w="1291" w:type="dxa"/>
            <w:tcBorders/>
            <w:shd w:fill="E7E7E2" w:val="clear"/>
            <w:vAlign w:val="center"/>
          </w:tcPr>
          <w:p>
            <w:pPr>
              <w:pStyle w:val="TableContents"/>
              <w:bidi w:val="0"/>
              <w:spacing w:before="0" w:after="283"/>
              <w:jc w:val="left"/>
              <w:rPr/>
            </w:pPr>
            <w:r>
              <w:rPr/>
              <w:t xml:space="preserve">Pass Through Certificates of United Airlines, Inc.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3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2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3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5" w:name="MaxAggtOfferingPrice"/>
            <w:bookmarkEnd w:id="45"/>
            <w:r>
              <w:rPr/>
              <w:t xml:space="preserve">$ 0.00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6" w:name="TotalFeeAmt"/>
            <w:bookmarkEnd w:id="4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7" w:name="TotalPreviouslyPaidAmt"/>
            <w:bookmarkEnd w:id="4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8" w:name="TotalOffsetAmt"/>
            <w:bookmarkEnd w:id="4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7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9" w:name="NetFeeAmt"/>
            <w:bookmarkEnd w:id="4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75"/>
        <w:gridCol w:w="1287"/>
        <w:gridCol w:w="8643"/>
      </w:tblGrid>
      <w:tr>
        <w:trPr/>
        <w:tc>
          <w:tcPr>
            <w:tcW w:w="27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30" w:type="dxa"/>
            <w:gridSpan w:val="2"/>
            <w:tcBorders/>
            <w:vAlign w:val="center"/>
          </w:tcPr>
          <w:p>
            <w:pPr>
              <w:pStyle w:val="TableContents"/>
              <w:bidi w:val="0"/>
              <w:spacing w:before="0" w:after="283"/>
              <w:jc w:val="left"/>
              <w:rPr/>
            </w:pPr>
            <w:r>
              <w:rPr/>
              <w:t xml:space="preserve">An unspecified aggregate initial offering price and number or amount of the securities of each identified class is being registered as may from time to time be offered at unspecified prices or issued from time to time upon conversion, exercise or exchange of securities registered hereby or pursuant to anti-dilution adjustments with respect to any securities registered hereby that provide for such adjustments. Separate consideration may or may not be received for securities that are issuable on exercise, conversion or exchange of other securities or that are issued in units or represented by depositary shares. In accordance with Rules 456(b) and 457(r) under the Securities Act of 1933, as amended, the registrant is deferring payment of all of the registration fee. Registration fees will be paid subsequently on a "pay as you go basis." Securities registered hereunder may be sold either separately or as units comprising more than one type of security registered hereunder. The securities registered hereunder also include securities that may be purchased by underwriters to cover over-allotments, if any.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30" w:type="dxa"/>
            <w:gridSpan w:val="2"/>
            <w:tcBorders/>
            <w:vAlign w:val="center"/>
          </w:tcPr>
          <w:p>
            <w:pPr>
              <w:pStyle w:val="TableContents"/>
              <w:bidi w:val="0"/>
              <w:spacing w:before="0" w:after="283"/>
              <w:jc w:val="left"/>
              <w:rPr/>
            </w:pPr>
            <w:r>
              <w:rPr/>
              <w:t xml:space="preserve">See Offering Note 1.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30" w:type="dxa"/>
            <w:gridSpan w:val="2"/>
            <w:tcBorders/>
            <w:vAlign w:val="center"/>
          </w:tcPr>
          <w:p>
            <w:pPr>
              <w:pStyle w:val="TableContents"/>
              <w:bidi w:val="0"/>
              <w:spacing w:before="0" w:after="283"/>
              <w:jc w:val="left"/>
              <w:rPr/>
            </w:pPr>
            <w:r>
              <w:rPr/>
              <w:t xml:space="preserve">See Offering Note 1.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9930" w:type="dxa"/>
            <w:gridSpan w:val="2"/>
            <w:tcBorders/>
            <w:vAlign w:val="center"/>
          </w:tcPr>
          <w:p>
            <w:pPr>
              <w:pStyle w:val="TableContents"/>
              <w:bidi w:val="0"/>
              <w:spacing w:before="0" w:after="283"/>
              <w:jc w:val="left"/>
              <w:rPr/>
            </w:pPr>
            <w:r>
              <w:rPr/>
              <w:t xml:space="preserve">See Offering Note 1. Pursuant to Rule 457(n) under the Securities Act of 1933, as amended, no additional registration fee is required with respect to the guarantees.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9930" w:type="dxa"/>
            <w:gridSpan w:val="2"/>
            <w:tcBorders/>
            <w:vAlign w:val="center"/>
          </w:tcPr>
          <w:p>
            <w:pPr>
              <w:pStyle w:val="TableContents"/>
              <w:bidi w:val="0"/>
              <w:spacing w:before="0" w:after="283"/>
              <w:jc w:val="left"/>
              <w:rPr/>
            </w:pPr>
            <w:r>
              <w:rPr/>
              <w:t xml:space="preserve">See Offering Note 1. The depositary shares registered hereunder will be evidenced by depositary receipts issued pursuant to a deposit agreement. If the registrant elects to offer to the public fractional interests in shares of Preferred Stock, then depositary receipts will be distributed to those persons purchasing the fractional interests and the shares will be issued to the depositary under the deposit agreement.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9930" w:type="dxa"/>
            <w:gridSpan w:val="2"/>
            <w:tcBorders/>
            <w:vAlign w:val="center"/>
          </w:tcPr>
          <w:p>
            <w:pPr>
              <w:pStyle w:val="TableContents"/>
              <w:bidi w:val="0"/>
              <w:spacing w:before="0" w:after="283"/>
              <w:jc w:val="left"/>
              <w:rPr/>
            </w:pPr>
            <w:r>
              <w:rPr/>
              <w:t xml:space="preserve">See Offering Note 1.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9930" w:type="dxa"/>
            <w:gridSpan w:val="2"/>
            <w:tcBorders/>
            <w:vAlign w:val="center"/>
          </w:tcPr>
          <w:p>
            <w:pPr>
              <w:pStyle w:val="TableContents"/>
              <w:bidi w:val="0"/>
              <w:spacing w:before="0" w:after="283"/>
              <w:jc w:val="left"/>
              <w:rPr/>
            </w:pPr>
            <w:r>
              <w:rPr/>
              <w:t xml:space="preserve">See Offering Note 1.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9930" w:type="dxa"/>
            <w:gridSpan w:val="2"/>
            <w:tcBorders/>
            <w:vAlign w:val="center"/>
          </w:tcPr>
          <w:p>
            <w:pPr>
              <w:pStyle w:val="TableContents"/>
              <w:bidi w:val="0"/>
              <w:spacing w:before="0" w:after="283"/>
              <w:jc w:val="left"/>
              <w:rPr/>
            </w:pPr>
            <w:r>
              <w:rPr/>
              <w:t xml:space="preserve">See Offering Note 1. Rights evidencing the right to purchase Common Stock, Preferred Stock, depositary shares or warrants.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9</w:t>
            </w:r>
            <w:r>
              <w:rPr/>
              <w:t xml:space="preserve"> </w:t>
            </w:r>
          </w:p>
        </w:tc>
        <w:tc>
          <w:tcPr>
            <w:tcW w:w="9930" w:type="dxa"/>
            <w:gridSpan w:val="2"/>
            <w:tcBorders/>
            <w:vAlign w:val="center"/>
          </w:tcPr>
          <w:p>
            <w:pPr>
              <w:pStyle w:val="TableContents"/>
              <w:bidi w:val="0"/>
              <w:spacing w:before="0" w:after="283"/>
              <w:jc w:val="left"/>
              <w:rPr/>
            </w:pPr>
            <w:r>
              <w:rPr/>
              <w:t xml:space="preserve">See Offering Note 1. Warrants may be sold separately or together with any of the securities registered hereby and may be exercisable for debt securities, Common Stock or Preferred Stock registered hereby. Pursuant to Rule 457(g) under the Securities Act of 1933, as amended, no separate registration fee is required with respect to the warrants.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10</w:t>
            </w:r>
            <w:r>
              <w:rPr/>
              <w:t xml:space="preserve"> </w:t>
            </w:r>
          </w:p>
        </w:tc>
        <w:tc>
          <w:tcPr>
            <w:tcW w:w="9930" w:type="dxa"/>
            <w:gridSpan w:val="2"/>
            <w:tcBorders/>
            <w:vAlign w:val="center"/>
          </w:tcPr>
          <w:p>
            <w:pPr>
              <w:pStyle w:val="TableContents"/>
              <w:bidi w:val="0"/>
              <w:spacing w:before="0" w:after="283"/>
              <w:jc w:val="left"/>
              <w:rPr/>
            </w:pPr>
            <w:r>
              <w:rPr/>
              <w:t xml:space="preserve">See Offering Note 1.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11</w:t>
            </w:r>
            <w:r>
              <w:rPr/>
              <w:t xml:space="preserve"> </w:t>
            </w:r>
          </w:p>
        </w:tc>
        <w:tc>
          <w:tcPr>
            <w:tcW w:w="9930" w:type="dxa"/>
            <w:gridSpan w:val="2"/>
            <w:tcBorders/>
            <w:vAlign w:val="center"/>
          </w:tcPr>
          <w:p>
            <w:pPr>
              <w:pStyle w:val="TableContents"/>
              <w:bidi w:val="0"/>
              <w:spacing w:before="0" w:after="283"/>
              <w:jc w:val="left"/>
              <w:rPr/>
            </w:pPr>
            <w:r>
              <w:rPr/>
              <w:t xml:space="preserve">See Offering Note 4.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lineRule="auto" w:line="288" w:before="0" w:after="0"/>
              <w:ind w:left="0" w:right="0" w:hanging="0"/>
              <w:jc w:val="left"/>
              <w:rPr/>
            </w:pPr>
            <w:r>
              <w:rPr>
                <w:sz w:val="15"/>
              </w:rPr>
              <w:t>12</w:t>
            </w:r>
            <w:r>
              <w:rPr/>
              <w:t xml:space="preserve"> </w:t>
            </w:r>
          </w:p>
        </w:tc>
        <w:tc>
          <w:tcPr>
            <w:tcW w:w="9930" w:type="dxa"/>
            <w:gridSpan w:val="2"/>
            <w:tcBorders/>
            <w:vAlign w:val="center"/>
          </w:tcPr>
          <w:p>
            <w:pPr>
              <w:pStyle w:val="TableContents"/>
              <w:bidi w:val="0"/>
              <w:spacing w:before="0" w:after="283"/>
              <w:jc w:val="left"/>
              <w:rPr/>
            </w:pPr>
            <w:r>
              <w:rPr/>
              <w:t xml:space="preserve">See Offering Note 1. </w:t>
            </w:r>
          </w:p>
        </w:tc>
      </w:tr>
      <w:tr>
        <w:trPr/>
        <w:tc>
          <w:tcPr>
            <w:tcW w:w="1562" w:type="dxa"/>
            <w:gridSpan w:val="2"/>
            <w:tcBorders/>
            <w:vAlign w:val="center"/>
          </w:tcPr>
          <w:p>
            <w:pPr>
              <w:pStyle w:val="HorizontalLine"/>
              <w:pBdr>
                <w:bottom w:val="double" w:sz="2" w:space="0" w:color="808080"/>
              </w:pBdr>
              <w:bidi w:val="0"/>
              <w:spacing w:before="0" w:after="283"/>
              <w:jc w:val="left"/>
              <w:rPr/>
            </w:pPr>
            <w:r>
              <w:rPr/>
            </w:r>
          </w:p>
        </w:tc>
        <w:tc>
          <w:tcPr>
            <w:tcW w:w="864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00517/000010051726000023/ual-20251231.htm" TargetMode="External"/><Relationship Id="rId3" Type="http://schemas.openxmlformats.org/officeDocument/2006/relationships/hyperlink" Target="http://www.sec.gov/ix?doc=/Archives/edgar/data/100517/000010051726000091/ual-20260331.htm" TargetMode="External"/><Relationship Id="rId4" Type="http://schemas.openxmlformats.org/officeDocument/2006/relationships/hyperlink" Target="http://www.sec.gov/ix?doc=/Archives/edgar/data/100517/000010051726000139/ual-20260630.htm" TargetMode="External"/><Relationship Id="rId5" Type="http://schemas.openxmlformats.org/officeDocument/2006/relationships/hyperlink" Target="http://www.sec.gov/ix?doc=/Archives/edgar/data/100517/000010051726000186/ual-20260930.htm" TargetMode="External"/><Relationship Id="rId6" Type="http://schemas.openxmlformats.org/officeDocument/2006/relationships/hyperlink" Target="http://www.sec.gov/ix?doc=/Archives/edgar/data/100517/000110465926009237/tm263646d5_8k.htm" TargetMode="External"/><Relationship Id="rId7" Type="http://schemas.openxmlformats.org/officeDocument/2006/relationships/hyperlink" Target="http://www.sec.gov/ix?doc=/Archives/edgar/data/100517/000110465926011544/tm263646d10_8k.htm" TargetMode="External"/><Relationship Id="rId8" Type="http://schemas.openxmlformats.org/officeDocument/2006/relationships/hyperlink" Target="http://www.sec.gov/Archives/edgar/data/100517/000110465918055191/a18-22014_18a12b.htm" TargetMode="External"/><Relationship Id="rId9" Type="http://schemas.openxmlformats.org/officeDocument/2006/relationships/hyperlink" Target="http://www.sec.gov/Archives/edgar/data/100517/000110465920132578/tm2037699d1_8a12b.htm" TargetMode="External"/><Relationship Id="rId10" Type="http://schemas.openxmlformats.org/officeDocument/2006/relationships/hyperlink" Target="http://www.sec.gov/ix?doc=/Archives/edgar/data/100517/000110465926065739/tm2615419d1_8k.htm" TargetMode="External"/><Relationship Id="rId11" Type="http://schemas.openxmlformats.org/officeDocument/2006/relationships/hyperlink" Target="http://www.sec.gov/ix?doc=/Archives/edgar/data/100517/000010051726000023/ual-20251231.htm" TargetMode="External"/><Relationship Id="rId12" Type="http://schemas.openxmlformats.org/officeDocument/2006/relationships/hyperlink" Target="http://www.sec.gov/ix?doc=/Archives/edgar/data/100517/000010051726000023/ual-20251231.htm" TargetMode="External"/><Relationship Id="rId13" Type="http://schemas.openxmlformats.org/officeDocument/2006/relationships/hyperlink" Target="http://www.sec.gov/ix?doc=/Archives/edgar/data/100517/000010051726000023/ual-20251231.htm" TargetMode="External"/><Relationship Id="rId14" Type="http://schemas.openxmlformats.org/officeDocument/2006/relationships/hyperlink" Target="http://www.sec.gov/ix?doc=/Archives/edgar/data/100517/000010051726000091/ual-20260331.htm" TargetMode="External"/><Relationship Id="rId15" Type="http://schemas.openxmlformats.org/officeDocument/2006/relationships/hyperlink" Target="http://www.sec.gov/ix?doc=/Archives/edgar/data/100517/000010051726000139/ual-20260630.htm" TargetMode="External"/><Relationship Id="rId16" Type="http://schemas.openxmlformats.org/officeDocument/2006/relationships/hyperlink" Target="https://www.sec.gov/ix?doc=/Archives/edgar/data/100517/000010051726000186/ual-20260930.htm" TargetMode="External"/><Relationship Id="rId17" Type="http://schemas.openxmlformats.org/officeDocument/2006/relationships/hyperlink" Target="http://www.sec.gov/ix?doc=/Archives/edgar/data/100517/000110465926009237/tm263646d5_8k.htm" TargetMode="External"/><Relationship Id="rId18" Type="http://schemas.openxmlformats.org/officeDocument/2006/relationships/hyperlink" Target="http://www.sec.gov/ix?doc=/Archives/edgar/data/100517/000110465926011544/tm263646d10_8k.htm" TargetMode="External"/><Relationship Id="rId19" Type="http://schemas.openxmlformats.org/officeDocument/2006/relationships/hyperlink" Target="http://www.sec.gov/Archives/edgar/data/100517/000110465918055191/a18-22014_18a12b.htm" TargetMode="External"/><Relationship Id="rId20" Type="http://schemas.openxmlformats.org/officeDocument/2006/relationships/hyperlink" Target="http://www.sec.gov/Archives/edgar/data/100517/000110465920132578/tm2037699d1_8a12b.htm" TargetMode="External"/><Relationship Id="rId21" Type="http://schemas.openxmlformats.org/officeDocument/2006/relationships/hyperlink" Target="http://www.sec.gov/ix?doc=/Archives/edgar/data/100517/000110465926065739/tm2615419d1_8k.htm" TargetMode="External"/><Relationship Id="rId22" Type="http://schemas.openxmlformats.org/officeDocument/2006/relationships/hyperlink" Target="http://www.sec.gov/ix?doc=/Archives/edgar/data/100517/000010051726000023/ual-20251231.htm" TargetMode="External"/><Relationship Id="rId23" Type="http://schemas.openxmlformats.org/officeDocument/2006/relationships/hyperlink" Target="http://www.sec.gov/ix?doc=/Archives/edgar/data/100517/000010051726000023/ual-20251231.htm" TargetMode="External"/><Relationship Id="rId24" Type="http://schemas.openxmlformats.org/officeDocument/2006/relationships/hyperlink" Target="http://www.sec.gov/Archives/edgar/data/100517/000110465919037929/a19-12113_1ex3d1.htm" TargetMode="External"/><Relationship Id="rId25" Type="http://schemas.openxmlformats.org/officeDocument/2006/relationships/hyperlink" Target="http://www.sec.gov/Archives/edgar/data/100517/000110465924129787/tm2431350d1_ex3-1.htm" TargetMode="External"/><Relationship Id="rId26" Type="http://schemas.openxmlformats.org/officeDocument/2006/relationships/hyperlink" Target="http://www.sec.gov/Archives/edgar/data/100517/000110465920132578/tm2037699d1_ex3-1.htm" TargetMode="External"/><Relationship Id="rId27" Type="http://schemas.openxmlformats.org/officeDocument/2006/relationships/hyperlink" Target="http://www.sec.gov/Archives/edgar/data/100517/000119312513140583/d514659dex31.htm" TargetMode="External"/><Relationship Id="rId28" Type="http://schemas.openxmlformats.org/officeDocument/2006/relationships/hyperlink" Target="http://www.sec.gov/Archives/edgar/data/100517/000119312513140583/d514659dex32.htm" TargetMode="External"/><Relationship Id="rId29" Type="http://schemas.openxmlformats.org/officeDocument/2006/relationships/hyperlink" Target="http://www.sec.gov/Archives/edgar/data/100517/000095015513000024/e62332806ex4_1.htm" TargetMode="External"/><Relationship Id="rId30" Type="http://schemas.openxmlformats.org/officeDocument/2006/relationships/hyperlink" Target="http://www.sec.gov/Archives/edgar/data/100517/000110465920132578/tm2037699d1_ex4-1.htm" TargetMode="External"/><Relationship Id="rId31" Type="http://schemas.openxmlformats.org/officeDocument/2006/relationships/hyperlink" Target="http://www.sec.gov/Archives/edgar/data/100517/000010051721000016/ual_12312010kex418.htm" TargetMode="External"/><Relationship Id="rId32" Type="http://schemas.openxmlformats.org/officeDocument/2006/relationships/hyperlink" Target="http://www.sec.gov/Archives/edgar/data/100517/000110465923123217/tm2332036d2_ex4-3.htm" TargetMode="External"/><Relationship Id="rId33" Type="http://schemas.openxmlformats.org/officeDocument/2006/relationships/hyperlink" Target="http://www.sec.gov/Archives/edgar/data/100517/000110465924050332/tm2412418d1_ex4-4.htm" TargetMode="External"/><Relationship Id="rId34" Type="http://schemas.openxmlformats.org/officeDocument/2006/relationships/hyperlink" Target="https://www.sec.gov/Archives/edgar/data/100517/000110465923119940/tm2330894d2_ex4-13.htm" TargetMode="External"/><Relationship Id="rId35" Type="http://schemas.openxmlformats.org/officeDocument/2006/relationships/hyperlink" Target="http://www.sec.gov/Archives/edgar/data/319687/000095015512000106/e62075683ex4_1.htm" TargetMode="External"/><Relationship Id="rId36" Type="http://schemas.openxmlformats.org/officeDocument/2006/relationships/image" Target="media/image1.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49217</Words>
  <Characters>257768</Characters>
  <CharactersWithSpaces>309072</CharactersWithSpaces>
  <Paragraphs>3779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