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7, 2025</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7, 2025, Mileage Plus Holdings, LLC ("MPH"), a direct wholly owned subsidiary of United Airlines, Inc. ("United"), and Mileage Plus Intellectual Property Assets, Ltd., an indirect wholly owned subsidiary of MPH ("MIPA" and, together with MPH, the "Issuers") redeemed in full (the "Redemption") all $1.52 billion aggregate principal amount of the Issuers' outstanding 6.50% Senior Secured Notes due 2027 (the "Notes"), issued pursuant to an indenture (the "Indenture"), dated as of July 2, 2020, among MPH, MIPA, each subsidiary of MPH, United, United's parent company, United Airlines Holdings, Inc. ("UAL" and, together with United, the "Company"), certain subsidiaries of UAL, and Wilmington Trust, National Association, as trustee and collateral custodian. In connection with the Redemption, the Indenture was satisfied and discharged.</w:t>
      </w:r>
    </w:p>
    <w:p>
      <w:pPr>
        <w:spacing w:after="0" w:line="13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Redemption was made solely using cash on hand, without any refinancings or replacement indebtedness. As a result of the Redemption and the July 2024 voluntarily prepayment in full of the $1.8 billion outstanding principal balance of the secured term loan facility, which was secured ratably with the Notes, the MileagePlus assets will be unencumbered.</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 Results of Operations and Financial Condition.</w:t>
      </w:r>
    </w:p>
    <w:p>
      <w:pPr>
        <w:spacing w:after="0" w:line="104"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The Company continues to work towards its previously announced long-term net leverage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target of less than 2.0x and the Redemption is part of the Company's overall deleveraging plan. At the end of the second quarter of 2025, total debt, finance lease obligations and other financial liabilities was $27.1 billion, which inclusive of the Redemption was $25.6 billion, declining from a peak of $36.3 billion in the second quarter of 2021. Accordingly, adjusted total debt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has declined from a peak of $45.3 billion in the second quarter of 2021 to $34.0 billion as of the end of the second quarter of 2025, or $32.5 billion inclusive of the Redemption. As of the end of the second quarter of 2025, the Company retained available liquidity</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$18.6 billion, or $17.1 billion inclusive of the Redemption.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financial data for the quarter ended June 30, 2025 is preliminary and is subject to the completion of the Company's financial closing procedures, which as of the date of this Current Report on Form 8-K, have not been completed. In addition, this preliminary financial data for the quarter ended June 30, 2025 has not been audited or reviewed by the Company's independent registered public accounting firm. This preliminary financial data for the quarter ended June 30, 2025 is not a comprehensive statement of the Company's financial results or operating metrics for the period.</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(the "Securities Act"), except to the extent specifically provided in any such filing.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Section 27A of the Securities Act and Section 21E of the Exchange Act, relating to, among other things, goals, plans and projections regarding the Company's financial position and results of operations.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ind w:right="40" w:firstLine="8"/>
        <w:spacing w:after="0" w:line="238"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leverage is a non-GAAP financial measure that is equal to adjusted net debt divided by trailing twelve month Adjusted EBITDAR. We are not providing a target for or a reconciliation to total debt, finance lease obligations and other financial liabilities or net income, the most directly comparable GAAP measures, because we are unable to predict the excluded items noted below contained in the GAAP measures without unreasonable efforts and therefore we also are not able to determine the probable significance of such items. For additional information about the non-GAAP financial measures used in this press release, including net leverage, adjusted net debt and Adjusted EBITDAR, see "Non-GAAP Financial Information" below.</w:t>
      </w:r>
    </w:p>
    <w:p>
      <w:pPr>
        <w:spacing w:after="0" w:line="1" w:lineRule="exact"/>
        <w:rPr>
          <w:rFonts w:ascii="Times New Roman" w:cs="Times New Roman" w:eastAsia="Times New Roman" w:hAnsi="Times New Roman"/>
          <w:sz w:val="23"/>
          <w:szCs w:val="23"/>
          <w:color w:val="auto"/>
          <w:vertAlign w:val="superscript"/>
        </w:rPr>
      </w:pPr>
    </w:p>
    <w:p>
      <w:pPr>
        <w:ind w:right="60"/>
        <w:spacing w:after="0" w:line="22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For additional information about the non-GAAP financial measures used in this Current Report on Form 8-K and reconciliations to the most comparable GAAP measures, see "Non-GAAP Financial Information" below.</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 xml:space="preserve"> Includes cash, cash equivalents, short-term investments and undrawn credit facilities.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ind w:right="120"/>
        <w:spacing w:after="0" w:line="256" w:lineRule="auto"/>
        <w:rPr>
          <w:sz w:val="20"/>
          <w:szCs w:val="20"/>
          <w:color w:val="auto"/>
        </w:rPr>
      </w:pPr>
      <w:r>
        <w:rPr>
          <w:rFonts w:ascii="Times New Roman" w:cs="Times New Roman" w:eastAsia="Times New Roman" w:hAnsi="Times New Roman"/>
          <w:sz w:val="18"/>
          <w:szCs w:val="18"/>
          <w:color w:val="auto"/>
        </w:rPr>
        <w:t>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Current Report on Form 8-K are based upon information available to the Company on the date of this Current Report on Form 8-K. The Company undertakes no obligation to publicly update or revise any forward-looking statement, whether as a result of new information, future events, changed circumstances or otherwise, except as required by applicable law or regulation.</w:t>
      </w:r>
    </w:p>
    <w:p>
      <w:pPr>
        <w:spacing w:after="0" w:line="2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2024 and under "Economic and Market Factors" and "Governmental Actions" in Part I, Item</w:t>
      </w:r>
    </w:p>
    <w:p>
      <w:pPr>
        <w:spacing w:after="0" w:line="4" w:lineRule="exact"/>
        <w:rPr>
          <w:sz w:val="20"/>
          <w:szCs w:val="20"/>
          <w:color w:val="auto"/>
        </w:rPr>
      </w:pPr>
    </w:p>
    <w:p>
      <w:pPr>
        <w:ind w:right="80" w:firstLine="8"/>
        <w:spacing w:after="0" w:line="255"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our Quarterly Report on Form 10-Q for the quarterly period ended March 31, 2025, as well as other risks and uncertainties set forth from time to time in the reports we file with the U.S. Securities and Exchange Commission (the "SEC").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refers to financial measures that are not in accordance with U.S. Generally Accepted Accounting Principles ("GAAP"). The non-GAAP financial measures are provided as supplemental information to the financial measures presented in this Current Report on Form 8-K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Non-GAAP financial measures typically have exclusions or adjustments that include one or more of the following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right="160"/>
        <w:spacing w:after="0" w:line="266" w:lineRule="auto"/>
        <w:rPr>
          <w:sz w:val="20"/>
          <w:szCs w:val="20"/>
          <w:color w:val="auto"/>
        </w:rPr>
      </w:pPr>
      <w:r>
        <w:rPr>
          <w:rFonts w:ascii="Times New Roman" w:cs="Times New Roman" w:eastAsia="Times New Roman" w:hAnsi="Times New Roman"/>
          <w:sz w:val="18"/>
          <w:szCs w:val="18"/>
          <w:color w:val="auto"/>
        </w:rPr>
        <w:t>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Adjusted EBITDA and Adjusted EBITDAR:</w:t>
      </w:r>
      <w:r>
        <w:rPr>
          <w:rFonts w:ascii="Times New Roman" w:cs="Times New Roman" w:eastAsia="Times New Roman" w:hAnsi="Times New Roman"/>
          <w:sz w:val="18"/>
          <w:szCs w:val="18"/>
          <w:color w:val="auto"/>
        </w:rPr>
        <w:t xml:space="preserve">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Adjusted EBITDAR calculation methodology does not represent a change in management's expectations. Prior period amounts have been recast to conform to the current period presentation.</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Adjusted Total Debt and Adjusted Net Debt:</w:t>
      </w:r>
      <w:r>
        <w:rPr>
          <w:rFonts w:ascii="Times New Roman" w:cs="Times New Roman" w:eastAsia="Times New Roman" w:hAnsi="Times New Roman"/>
          <w:sz w:val="18"/>
          <w:szCs w:val="18"/>
          <w:color w:val="auto"/>
        </w:rPr>
        <w:t xml:space="preserve"> Adjusted total debt is a non-GAAP financial measure that includes current and long-term debt, finance lease 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Net Leverage:</w:t>
      </w:r>
      <w:r>
        <w:rPr>
          <w:rFonts w:ascii="Times New Roman" w:cs="Times New Roman" w:eastAsia="Times New Roman" w:hAnsi="Times New Roman"/>
          <w:sz w:val="18"/>
          <w:szCs w:val="18"/>
          <w:color w:val="auto"/>
        </w:rPr>
        <w:t xml:space="preserve"> Net leverage is a non-GAAP financial measure that is equal to adjusted net debt divided by trailing twelve month Adjusted EBITDAR. UAL provides net leverage because we believe it provides useful supplemental information for assessing the Company's debt level. See the above descriptions of adjusted net debt and Adjusted EBITDAR.</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(Preliminary)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0"/>
        </w:trPr>
        <w:tc>
          <w:tcPr>
            <w:tcW w:w="7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Pr>
          <w:p>
            <w:pPr>
              <w:spacing w:after="0"/>
              <w:rPr>
                <w:sz w:val="15"/>
                <w:szCs w:val="15"/>
                <w:color w:val="auto"/>
              </w:rPr>
            </w:pPr>
          </w:p>
        </w:tc>
        <w:tc>
          <w:tcPr>
            <w:tcW w:w="122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5"/>
                <w:szCs w:val="15"/>
                <w:color w:val="auto"/>
              </w:rPr>
            </w:pPr>
          </w:p>
        </w:tc>
        <w:tc>
          <w:tcPr>
            <w:tcW w:w="1100" w:type="dxa"/>
            <w:vAlign w:val="bottom"/>
          </w:tcPr>
          <w:p>
            <w:pPr>
              <w:jc w:val="right"/>
              <w:ind w:right="250"/>
              <w:spacing w:after="0" w:line="181" w:lineRule="exact"/>
              <w:rPr>
                <w:sz w:val="20"/>
                <w:szCs w:val="20"/>
                <w:color w:val="auto"/>
              </w:rPr>
            </w:pPr>
            <w:r>
              <w:rPr>
                <w:rFonts w:ascii="Times New Roman" w:cs="Times New Roman" w:eastAsia="Times New Roman" w:hAnsi="Times New Roman"/>
                <w:sz w:val="18"/>
                <w:szCs w:val="18"/>
                <w:color w:val="auto"/>
              </w:rPr>
              <w:t>Increase/</w:t>
            </w:r>
          </w:p>
        </w:tc>
      </w:tr>
      <w:tr>
        <w:trPr>
          <w:trHeight w:val="239"/>
        </w:trPr>
        <w:tc>
          <w:tcPr>
            <w:tcW w:w="7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finance lease obligations and other financial liabilities - current and noncurrent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 current and noncurrent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 -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total debt (Non-GAAP)</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45,287</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debt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Reflecting the Redemption</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(Preliminary)</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0"/>
        </w:trPr>
        <w:tc>
          <w:tcPr>
            <w:tcW w:w="7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6"/>
              </w:rPr>
              <w:t>June 30,</w:t>
            </w:r>
          </w:p>
        </w:tc>
        <w:tc>
          <w:tcPr>
            <w:tcW w:w="220" w:type="dxa"/>
            <w:vAlign w:val="bottom"/>
          </w:tcPr>
          <w:p>
            <w:pPr>
              <w:spacing w:after="0"/>
              <w:rPr>
                <w:sz w:val="15"/>
                <w:szCs w:val="15"/>
                <w:color w:val="auto"/>
              </w:rPr>
            </w:pPr>
          </w:p>
        </w:tc>
        <w:tc>
          <w:tcPr>
            <w:tcW w:w="122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5"/>
                <w:szCs w:val="15"/>
                <w:color w:val="auto"/>
              </w:rPr>
            </w:pPr>
          </w:p>
        </w:tc>
        <w:tc>
          <w:tcPr>
            <w:tcW w:w="1100" w:type="dxa"/>
            <w:vAlign w:val="bottom"/>
          </w:tcPr>
          <w:p>
            <w:pPr>
              <w:jc w:val="right"/>
              <w:ind w:right="250"/>
              <w:spacing w:after="0" w:line="181" w:lineRule="exact"/>
              <w:rPr>
                <w:sz w:val="20"/>
                <w:szCs w:val="20"/>
                <w:color w:val="auto"/>
              </w:rPr>
            </w:pPr>
            <w:r>
              <w:rPr>
                <w:rFonts w:ascii="Times New Roman" w:cs="Times New Roman" w:eastAsia="Times New Roman" w:hAnsi="Times New Roman"/>
                <w:sz w:val="18"/>
                <w:szCs w:val="18"/>
                <w:color w:val="auto"/>
              </w:rPr>
              <w:t>Increase/</w:t>
            </w:r>
          </w:p>
        </w:tc>
      </w:tr>
      <w:tr>
        <w:trPr>
          <w:trHeight w:val="239"/>
        </w:trPr>
        <w:tc>
          <w:tcPr>
            <w:tcW w:w="7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r>
      <w:tr>
        <w:trPr>
          <w:trHeight w:val="22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finance lease obligations and other financial liabilities - current and noncurrent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 current and noncurrent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 - noncurrent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total debt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45,287</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debt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9, 2025</w:t>
      </w:r>
    </w:p>
    <w:p>
      <w:pPr>
        <w:sectPr>
          <w:pgSz w:w="11900" w:h="16838" w:orient="portrait"/>
          <w:cols w:equalWidth="0" w:num="1">
            <w:col w:w="11240"/>
          </w:cols>
          <w:pgMar w:left="320" w:top="1440"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sectPr>
      <w:pgSz w:w="11900" w:h="16838" w:orient="portrait"/>
      <w:cols w:equalWidth="0" w:num="1">
        <w:col w:w="11240"/>
      </w:cols>
      <w:pgMar w:left="320" w:top="1440" w:right="33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2025-07-09T16:08:01Z</dcterms:created>
  <dcterms:modified xsi:type="dcterms:W3CDTF">2025-07-09T16:08:01Z</dcterms:modified>
</cp:coreProperties>
</file>