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81915</wp:posOffset>
            </wp:positionV>
            <wp:extent cx="3000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20955</wp:posOffset>
            </wp:positionV>
            <wp:extent cx="3000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15" w:lineRule="exact"/>
        <w:rPr>
          <w:sz w:val="24"/>
          <w:szCs w:val="24"/>
          <w:color w:val="auto"/>
        </w:rPr>
      </w:pPr>
    </w:p>
    <w:p>
      <w:pPr>
        <w:ind w:left="586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0"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68" w:lineRule="exact"/>
        <w:rPr>
          <w:sz w:val="24"/>
          <w:szCs w:val="24"/>
          <w:color w:val="auto"/>
        </w:rPr>
      </w:pPr>
    </w:p>
    <w:p>
      <w:pPr>
        <w:ind w:left="180"/>
        <w:spacing w:after="0"/>
        <w:tabs>
          <w:tab w:leader="none" w:pos="248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46355</wp:posOffset>
            </wp:positionV>
            <wp:extent cx="308610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610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tbl>
      <w:tblPr>
        <w:tblLayout w:type="fixed"/>
        <w:tblInd w:w="78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Commission</w:t>
            </w:r>
          </w:p>
        </w:tc>
        <w:tc>
          <w:tcPr>
            <w:tcW w:w="2300" w:type="dxa"/>
            <w:vAlign w:val="bottom"/>
            <w:gridSpan w:val="3"/>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Principal Executive Office</w:t>
            </w:r>
          </w:p>
        </w:tc>
        <w:tc>
          <w:tcPr>
            <w:tcW w:w="13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Telephone Number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State of</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I.R.S. Employer</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760" w:type="dxa"/>
            <w:vAlign w:val="bottom"/>
          </w:tcPr>
          <w:p>
            <w:pPr>
              <w:spacing w:after="0"/>
              <w:rPr>
                <w:sz w:val="9"/>
                <w:szCs w:val="9"/>
                <w:color w:val="auto"/>
              </w:rPr>
            </w:pPr>
          </w:p>
        </w:tc>
        <w:tc>
          <w:tcPr>
            <w:tcW w:w="1540" w:type="dxa"/>
            <w:vAlign w:val="bottom"/>
            <w:gridSpan w:val="2"/>
            <w:vMerge w:val="restart"/>
          </w:tcPr>
          <w:p>
            <w:pPr>
              <w:jc w:val="center"/>
              <w:ind w:right="617"/>
              <w:spacing w:after="0"/>
              <w:rPr>
                <w:sz w:val="20"/>
                <w:szCs w:val="20"/>
                <w:color w:val="auto"/>
              </w:rPr>
            </w:pPr>
            <w:r>
              <w:rPr>
                <w:rFonts w:ascii="Times New Roman" w:cs="Times New Roman" w:eastAsia="Times New Roman" w:hAnsi="Times New Roman"/>
                <w:sz w:val="13"/>
                <w:szCs w:val="13"/>
                <w:b w:val="1"/>
                <w:bCs w:val="1"/>
                <w:color w:val="auto"/>
                <w:w w:val="94"/>
              </w:rPr>
              <w:t>its Charter</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001-06033</w:t>
            </w:r>
          </w:p>
        </w:tc>
        <w:tc>
          <w:tcPr>
            <w:tcW w:w="80" w:type="dxa"/>
            <w:vAlign w:val="bottom"/>
          </w:tcPr>
          <w:p>
            <w:pPr>
              <w:spacing w:after="0"/>
              <w:rPr>
                <w:sz w:val="13"/>
                <w:szCs w:val="13"/>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United Airlines Holdings, Inc.</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233 South Wacker Drive,</w:t>
            </w:r>
          </w:p>
        </w:tc>
        <w:tc>
          <w:tcPr>
            <w:tcW w:w="140" w:type="dxa"/>
            <w:vAlign w:val="bottom"/>
          </w:tcPr>
          <w:p>
            <w:pPr>
              <w:spacing w:after="0"/>
              <w:rPr>
                <w:sz w:val="13"/>
                <w:szCs w:val="13"/>
                <w:color w:val="auto"/>
              </w:rPr>
            </w:pPr>
          </w:p>
        </w:tc>
        <w:tc>
          <w:tcPr>
            <w:tcW w:w="4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(872)</w:t>
            </w:r>
          </w:p>
        </w:tc>
        <w:tc>
          <w:tcPr>
            <w:tcW w:w="78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825-4000</w:t>
            </w:r>
          </w:p>
        </w:tc>
        <w:tc>
          <w:tcPr>
            <w:tcW w:w="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Delaware</w:t>
            </w: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36-2675207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Illinois</w:t>
            </w:r>
          </w:p>
        </w:tc>
        <w:tc>
          <w:tcPr>
            <w:tcW w:w="6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8"/>
              </w:rPr>
              <w:t>60606</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9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9"/>
              </w:rPr>
              <w:t>001-10323</w:t>
            </w:r>
          </w:p>
        </w:tc>
        <w:tc>
          <w:tcPr>
            <w:tcW w:w="80" w:type="dxa"/>
            <w:vAlign w:val="bottom"/>
          </w:tcPr>
          <w:p>
            <w:pPr>
              <w:spacing w:after="0"/>
              <w:rPr>
                <w:sz w:val="19"/>
                <w:szCs w:val="19"/>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United Airlines, Inc.</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233 South Wacker Drive,</w:t>
            </w:r>
          </w:p>
        </w:tc>
        <w:tc>
          <w:tcPr>
            <w:tcW w:w="4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(872)</w:t>
            </w:r>
          </w:p>
        </w:tc>
        <w:tc>
          <w:tcPr>
            <w:tcW w:w="78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825-4000</w:t>
            </w: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74-2099724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color w:val="auto"/>
              </w:rPr>
              <w:t>Illinois</w:t>
            </w: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8"/>
              </w:rPr>
              <w:t>60606</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80" w:type="dxa"/>
            <w:vAlign w:val="bottom"/>
            <w:gridSpan w:val="13"/>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6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3"/>
                <w:szCs w:val="13"/>
                <w:color w:val="auto"/>
              </w:rPr>
              <w:t>United Airlines Holdings, Inc.</w:t>
            </w:r>
          </w:p>
        </w:tc>
        <w:tc>
          <w:tcPr>
            <w:tcW w:w="380" w:type="dxa"/>
            <w:vAlign w:val="bottom"/>
          </w:tcPr>
          <w:p>
            <w:pPr>
              <w:spacing w:after="0"/>
              <w:rPr>
                <w:sz w:val="14"/>
                <w:szCs w:val="14"/>
                <w:color w:val="auto"/>
              </w:rPr>
            </w:pPr>
          </w:p>
        </w:tc>
        <w:tc>
          <w:tcPr>
            <w:tcW w:w="18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Common Stock, $0.01 par value</w:t>
            </w:r>
          </w:p>
        </w:tc>
        <w:tc>
          <w:tcPr>
            <w:tcW w:w="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7"/>
              </w:rPr>
              <w:t>UAL</w:t>
            </w: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14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Preferred Stock Purchase Rights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None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None</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2"/>
              </w:rPr>
              <w:t>None</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w w:val="92"/>
              </w:rPr>
              <w:t>None</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123" w:lineRule="exact"/>
        <w:rPr>
          <w:sz w:val="24"/>
          <w:szCs w:val="24"/>
          <w:color w:val="auto"/>
        </w:rPr>
      </w:pPr>
    </w:p>
    <w:tbl>
      <w:tblPr>
        <w:tblLayout w:type="fixed"/>
        <w:tblInd w:w="3280" w:type="dxa"/>
        <w:tblCellMar>
          <w:top w:w="0" w:type="dxa"/>
          <w:left w:w="0" w:type="dxa"/>
          <w:bottom w:w="0" w:type="dxa"/>
          <w:right w:w="0" w:type="dxa"/>
        </w:tblCellMar>
      </w:tblPr>
      <w:tr>
        <w:trPr>
          <w:trHeight w:val="164"/>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None</w:t>
            </w:r>
          </w:p>
        </w:tc>
      </w:tr>
      <w:tr>
        <w:trPr>
          <w:trHeight w:val="176"/>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Airlines, Inc.</w:t>
            </w:r>
          </w:p>
        </w:tc>
        <w:tc>
          <w:tcPr>
            <w:tcW w:w="2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None</w:t>
            </w:r>
          </w:p>
        </w:tc>
      </w:tr>
      <w:tr>
        <w:trPr>
          <w:trHeight w:val="70"/>
        </w:trPr>
        <w:tc>
          <w:tcPr>
            <w:tcW w:w="2020" w:type="dxa"/>
            <w:vAlign w:val="bottom"/>
            <w:tcBorders>
              <w:bottom w:val="single" w:sz="8" w:color="auto"/>
            </w:tcBorders>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r>
    </w:tbl>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24"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24"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24"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24"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475" w:right="459" w:bottom="1440" w:gutter="0" w:footer="0" w:header="0"/>
        </w:sectPr>
      </w:pPr>
    </w:p>
    <w:p>
      <w:pPr>
        <w:spacing w:after="0" w:line="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United Airlines Holdings, Inc.</w:t>
      </w:r>
    </w:p>
    <w:p>
      <w:pPr>
        <w:spacing w:after="0" w:line="3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United Airlines, Inc.</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Accelerated filer Accelerated filer</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Non-accelerated filer Non-accelerated filer</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Smaller reporting company Smaller reporting company</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Emerging growth company Emerging growth company</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87" w:lineRule="exact"/>
        <w:rPr>
          <w:sz w:val="24"/>
          <w:szCs w:val="24"/>
          <w:color w:val="auto"/>
        </w:rPr>
      </w:pPr>
    </w:p>
    <w:p>
      <w:pPr>
        <w:sectPr>
          <w:pgSz w:w="11900" w:h="16838" w:orient="portrait"/>
          <w:cols w:equalWidth="0" w:num="11">
            <w:col w:w="2160" w:space="720"/>
            <w:col w:w="1120" w:space="180"/>
            <w:col w:w="100" w:space="260"/>
            <w:col w:w="860" w:space="140"/>
            <w:col w:w="120" w:space="260"/>
            <w:col w:w="1080" w:space="160"/>
            <w:col w:w="120" w:space="260"/>
            <w:col w:w="1380" w:space="160"/>
            <w:col w:w="120" w:space="260"/>
            <w:col w:w="1380" w:space="160"/>
            <w:col w:w="120"/>
          </w:cols>
          <w:pgMar w:left="320" w:top="475" w:right="459" w:bottom="1440" w:gutter="0" w:footer="0" w:header="0"/>
          <w:type w:val="continuous"/>
        </w:sectPr>
      </w:pPr>
    </w:p>
    <w:p>
      <w:pPr>
        <w:ind w:right="200"/>
        <w:spacing w:after="0" w:line="258"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75" w:lineRule="exact"/>
        <w:tabs>
          <w:tab w:leader="none" w:pos="2120" w:val="left"/>
          <w:tab w:leader="none" w:pos="5720" w:val="left"/>
          <w:tab w:leader="none" w:pos="78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20"/>
        <w:spacing w:after="0" w:line="175" w:lineRule="exact"/>
        <w:tabs>
          <w:tab w:leader="none" w:pos="2120" w:val="left"/>
          <w:tab w:leader="none" w:pos="5720" w:val="left"/>
          <w:tab w:leader="none" w:pos="78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Arial Unicode MS" w:cs="Arial Unicode MS" w:eastAsia="Arial Unicode MS" w:hAnsi="Arial Unicode MS"/>
          <w:sz w:val="13"/>
          <w:szCs w:val="13"/>
          <w:color w:val="auto"/>
        </w:rPr>
        <w:t>☐</w:t>
      </w:r>
    </w:p>
    <w:p>
      <w:pPr>
        <w:spacing w:after="0" w:line="12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4"/>
          <w:szCs w:val="24"/>
          <w:color w:val="auto"/>
        </w:rPr>
      </w:pPr>
    </w:p>
    <w:p>
      <w:pPr>
        <w:ind w:left="20"/>
        <w:spacing w:after="0" w:line="175" w:lineRule="exact"/>
        <w:tabs>
          <w:tab w:leader="none" w:pos="2120" w:val="left"/>
          <w:tab w:leader="none" w:pos="5720" w:val="left"/>
          <w:tab w:leader="none" w:pos="78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Arial Unicode MS" w:cs="Arial Unicode MS" w:eastAsia="Arial Unicode MS" w:hAnsi="Arial Unicode MS"/>
          <w:sz w:val="13"/>
          <w:szCs w:val="13"/>
          <w:color w:val="auto"/>
        </w:rPr>
        <w:t>☐</w:t>
      </w:r>
    </w:p>
    <w:p>
      <w:pPr>
        <w:spacing w:after="0" w:line="82" w:lineRule="exact"/>
        <w:rPr>
          <w:sz w:val="24"/>
          <w:szCs w:val="24"/>
          <w:color w:val="auto"/>
        </w:rPr>
      </w:pPr>
    </w:p>
    <w:p>
      <w:pPr>
        <w:ind w:right="140"/>
        <w:spacing w:after="0" w:line="178"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cers during the relevant recovery period pursuant to §240.10D-1(b).</w:t>
      </w:r>
    </w:p>
    <w:p>
      <w:pPr>
        <w:spacing w:after="0" w:line="10" w:lineRule="exact"/>
        <w:rPr>
          <w:sz w:val="24"/>
          <w:szCs w:val="24"/>
          <w:color w:val="auto"/>
        </w:rPr>
      </w:pPr>
    </w:p>
    <w:p>
      <w:pPr>
        <w:ind w:left="20"/>
        <w:spacing w:after="0" w:line="175" w:lineRule="exact"/>
        <w:tabs>
          <w:tab w:leader="none" w:pos="2120" w:val="left"/>
          <w:tab w:leader="none" w:pos="5720" w:val="left"/>
          <w:tab w:leader="none" w:pos="78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24"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24" w:lineRule="exact"/>
        <w:rPr>
          <w:sz w:val="24"/>
          <w:szCs w:val="24"/>
          <w:color w:val="auto"/>
        </w:rPr>
      </w:pPr>
    </w:p>
    <w:p>
      <w:pPr>
        <w:ind w:right="200"/>
        <w:spacing w:after="0" w:line="260" w:lineRule="auto"/>
        <w:rPr>
          <w:sz w:val="20"/>
          <w:szCs w:val="20"/>
          <w:color w:val="auto"/>
        </w:rPr>
      </w:pPr>
      <w:r>
        <w:rPr>
          <w:rFonts w:ascii="Times New Roman" w:cs="Times New Roman" w:eastAsia="Times New Roman" w:hAnsi="Times New Roman"/>
          <w:sz w:val="13"/>
          <w:szCs w:val="13"/>
          <w:color w:val="auto"/>
        </w:rPr>
        <w:t>The aggregate market value of common stock held by non-affiliates of United Airlines Holdings, Inc. was $25.6 billion as of June 30, 2025 based on the closing sale price of $79.63 on that date. There is no market for United Airlines, Inc. common stock.</w:t>
      </w: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registrant's classes of common stock, as of February 5, 2026.</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1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323,430,419</w:t>
            </w:r>
          </w:p>
        </w:tc>
        <w:tc>
          <w:tcPr>
            <w:tcW w:w="49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shares of common stock ($0.01 par value)</w:t>
            </w:r>
          </w:p>
        </w:tc>
      </w:tr>
      <w:tr>
        <w:trPr>
          <w:trHeight w:val="175"/>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United Airlines, Inc.</w:t>
            </w:r>
          </w:p>
        </w:tc>
        <w:tc>
          <w:tcPr>
            <w:tcW w:w="1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1,000</w:t>
            </w:r>
          </w:p>
        </w:tc>
        <w:tc>
          <w:tcPr>
            <w:tcW w:w="494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6"/>
              </w:rPr>
              <w:t>shares of common stock ($0.01 par value) (100% owned by United Airlines Holdings, Inc.)</w:t>
            </w: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This combined Form 10-K is separately filed by United Airlines Holdings, Inc. and United Airlines, Inc.</w:t>
      </w:r>
    </w:p>
    <w:p>
      <w:pPr>
        <w:spacing w:after="0" w:line="2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3"/>
          <w:szCs w:val="13"/>
          <w:b w:val="1"/>
          <w:bCs w:val="1"/>
          <w:color w:val="auto"/>
        </w:rPr>
        <w:t>OMISSION OF CERTAIN INFORMATION</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United Airlines, Inc. meets the conditions set forth in General Instruction I(1)(a) and (b) of Form 10-K and is therefore filing this form with the reduced disclosure format allowed under that General Instruction.</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right="260"/>
        <w:spacing w:after="0" w:line="258" w:lineRule="auto"/>
        <w:rPr>
          <w:sz w:val="20"/>
          <w:szCs w:val="20"/>
          <w:color w:val="auto"/>
        </w:rPr>
      </w:pPr>
      <w:r>
        <w:rPr>
          <w:rFonts w:ascii="Times New Roman" w:cs="Times New Roman" w:eastAsia="Times New Roman" w:hAnsi="Times New Roman"/>
          <w:sz w:val="13"/>
          <w:szCs w:val="13"/>
          <w:color w:val="auto"/>
        </w:rPr>
        <w:t>Certain information required by Items 10, 11, 12 and 13 of Part III of this Form 10-K is incorporated by reference for United Airlines Holdings, Inc. from its definitive proxy statement for its 2026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75"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 and Subsidiary Companies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7"/>
            <w:vMerge w:val="restart"/>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78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7"/>
            <w:vMerge w:val="continue"/>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3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76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3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Information about Our Executive Officers</w:t>
            </w:r>
          </w:p>
        </w:tc>
        <w:tc>
          <w:tcPr>
            <w:tcW w:w="5320" w:type="dxa"/>
            <w:vAlign w:val="bottom"/>
            <w:gridSpan w:val="11"/>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120" w:type="dxa"/>
            <w:vAlign w:val="bottom"/>
            <w:gridSpan w:val="8"/>
          </w:tcPr>
          <w:p>
            <w:pPr>
              <w:spacing w:after="0"/>
              <w:rPr>
                <w:sz w:val="18"/>
                <w:szCs w:val="18"/>
                <w:color w:val="auto"/>
              </w:rPr>
            </w:pPr>
          </w:p>
        </w:tc>
        <w:tc>
          <w:tcPr>
            <w:tcW w:w="5320" w:type="dxa"/>
            <w:vAlign w:val="bottom"/>
            <w:gridSpan w:val="11"/>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300" w:type="dxa"/>
            <w:vAlign w:val="bottom"/>
            <w:gridSpan w:val="13"/>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40" w:type="dxa"/>
            <w:vAlign w:val="bottom"/>
            <w:gridSpan w:val="5"/>
          </w:tcPr>
          <w:p>
            <w:pPr>
              <w:spacing w:after="0"/>
              <w:rPr>
                <w:sz w:val="18"/>
                <w:szCs w:val="18"/>
                <w:color w:val="auto"/>
              </w:rPr>
            </w:pPr>
          </w:p>
        </w:tc>
        <w:tc>
          <w:tcPr>
            <w:tcW w:w="6300" w:type="dxa"/>
            <w:vAlign w:val="bottom"/>
            <w:gridSpan w:val="13"/>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80" w:type="dxa"/>
            <w:vAlign w:val="bottom"/>
            <w:gridSpan w:val="2"/>
          </w:tcPr>
          <w:p>
            <w:pPr>
              <w:spacing w:after="0"/>
              <w:rPr>
                <w:sz w:val="18"/>
                <w:szCs w:val="18"/>
                <w:color w:val="auto"/>
              </w:rPr>
            </w:pPr>
          </w:p>
        </w:tc>
        <w:tc>
          <w:tcPr>
            <w:tcW w:w="7340" w:type="dxa"/>
            <w:vAlign w:val="bottom"/>
            <w:gridSpan w:val="18"/>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040" w:type="dxa"/>
            <w:vAlign w:val="bottom"/>
            <w:gridSpan w:val="17"/>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11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7"/>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3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7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[Reserved]</w:t>
            </w:r>
          </w:p>
        </w:tc>
        <w:tc>
          <w:tcPr>
            <w:tcW w:w="7320" w:type="dxa"/>
            <w:vAlign w:val="bottom"/>
            <w:gridSpan w:val="19"/>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20" w:type="dxa"/>
            <w:vAlign w:val="bottom"/>
            <w:gridSpan w:val="3"/>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3"/>
          </w:tcPr>
          <w:p>
            <w:pPr>
              <w:spacing w:after="0"/>
              <w:rPr>
                <w:sz w:val="18"/>
                <w:szCs w:val="18"/>
                <w:color w:val="auto"/>
              </w:rPr>
            </w:pPr>
          </w:p>
        </w:tc>
        <w:tc>
          <w:tcPr>
            <w:tcW w:w="4000" w:type="dxa"/>
            <w:vAlign w:val="bottom"/>
            <w:gridSpan w:val="6"/>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8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Combined Notes to Consolidated Financial Statements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60" w:type="dxa"/>
            <w:vAlign w:val="bottom"/>
            <w:gridSpan w:val="12"/>
          </w:tcPr>
          <w:p>
            <w:pPr>
              <w:spacing w:after="0"/>
              <w:rPr>
                <w:sz w:val="18"/>
                <w:szCs w:val="18"/>
                <w:color w:val="auto"/>
              </w:rPr>
            </w:pPr>
          </w:p>
        </w:tc>
        <w:tc>
          <w:tcPr>
            <w:tcW w:w="1920" w:type="dxa"/>
            <w:vAlign w:val="bottom"/>
            <w:gridSpan w:val="3"/>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gridSpan w:val="2"/>
          </w:tcPr>
          <w:p>
            <w:pPr>
              <w:spacing w:after="0"/>
              <w:rPr>
                <w:sz w:val="18"/>
                <w:szCs w:val="18"/>
                <w:color w:val="auto"/>
              </w:rPr>
            </w:pPr>
          </w:p>
        </w:tc>
        <w:tc>
          <w:tcPr>
            <w:tcW w:w="6580" w:type="dxa"/>
            <w:vAlign w:val="bottom"/>
            <w:gridSpan w:val="15"/>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56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gridSpan w:val="7"/>
            <w:vMerge w:val="restart"/>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15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7"/>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260" w:type="dxa"/>
            <w:vAlign w:val="bottom"/>
            <w:gridSpan w:val="7"/>
          </w:tcPr>
          <w:p>
            <w:pPr>
              <w:spacing w:after="0"/>
              <w:rPr>
                <w:sz w:val="16"/>
                <w:szCs w:val="16"/>
                <w:color w:val="auto"/>
              </w:rPr>
            </w:pPr>
          </w:p>
        </w:tc>
        <w:tc>
          <w:tcPr>
            <w:tcW w:w="17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260" w:type="dxa"/>
            <w:vAlign w:val="bottom"/>
            <w:gridSpan w:val="7"/>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060" w:type="dxa"/>
            <w:vAlign w:val="bottom"/>
            <w:gridSpan w:val="2"/>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900" w:type="dxa"/>
            <w:vAlign w:val="bottom"/>
            <w:gridSpan w:val="4"/>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11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7"/>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3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7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00" w:type="dxa"/>
            <w:vAlign w:val="bottom"/>
            <w:gridSpan w:val="10"/>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and its wholly-owned subsidiary is United Airlines, Inc. (together with its consolidated subsidiaries, "United"). United's shared purpose is "Connecting People. Uniting the World." United has the most comprehensive route network among North American carriers, including U.S. mainland hubs in Chicago, Denver, Houston, Los Angeles, New York/Newark, San Francisco and Washington, D.C. </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principal executive office is located at 233 South Wacker Drive, Chicago, Illinois 60606 (telephone number (872) 825-4000). The Company's website is located at www.united.com and its investor relations website is located at ir.united.com. The information contained on or connected to the Company's websites is not incorporated by reference into this Form 10-K and should not be considered part of this or any other report filed with the U.S. Securities and Exchange Commission ("SEC"). The Company's filings with the SEC, including annual reports on Form 10-K, quarterly reports on Form 10-Q, current reports on Form 8-K, and all amendments to those reports, as well as UAL's proxy statement for its annual meeting of stockholders, are accessible without charge on the Company's investor relations website, as soon as reasonably practicable, after we electronically file such material with, or furnish such material to, the SEC pursuant to Section 13(a) or 15(d) of the Exchange Act. Such filings are also available on the SEC's website at www.sec.gov.</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transports people and cargo throughout North America and to destinations in Asia, Europe, Africa, the Pacific, the Middle East and Latin America. UAL, through United and its regional carriers, operates across six continents, with hubs at Chicago O'Hare International Airport ("ORD"), Denver International Airport ("DEN"), George Bush Intercontinental Airport ("IAH"), Los Angeles International Airport ("LAX"), Newark Liberty International Airport ("EWR"), San Francisco International Airport ("SFO"), Washington Dulles International Airport ("IAD") and A.B. Won Pat International Airport ("GUM").</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of the Company's domestic hubs are located in large business and population centers, contributing to a large amount of "origin and destination" traffic. The hub and spoke system allows us to transport passengers between a large number of destinations with substantially more frequent service than if each route were served directly. The hub system also allows us to add service to a new destination from a large number of cities using only one or a limited number of aircraft. As discussed under Alliances below, United is a member of Star Alliance, the world's largest alliance network.</w:t>
      </w:r>
    </w:p>
    <w:p>
      <w:pPr>
        <w:spacing w:after="0" w:line="122"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United Next. </w:t>
      </w:r>
      <w:r>
        <w:rPr>
          <w:rFonts w:ascii="Times New Roman" w:cs="Times New Roman" w:eastAsia="Times New Roman" w:hAnsi="Times New Roman"/>
          <w:sz w:val="18"/>
          <w:szCs w:val="18"/>
          <w:color w:val="auto"/>
        </w:rPr>
        <w:t>In 2025 the Company continued to make progress with its United Next plan to align its network and product with the potential of its hubs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remaining focused on protecting the safety of its employees and customers and providing a superior customer experience. United Next aims to increase customer choice and win brand-loyal customers by offering a diversity of products ranging from Basic Economy to Polaris and growing our leading global network, which the Company believes will lead to diverse revenue streams for the Company. As part of its United Next growth plan, the Company expects 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take delivery of over 630 new narrow- and widebody aircraft by the end of 2034. The new aircraft that the Company has taken delivery of to date have increased the Company's gauge, scale and connectivity as well as improved the Company's fuel efficiency. Other key highlights of its United Next plan include:</w:t>
      </w:r>
    </w:p>
    <w:p>
      <w:pPr>
        <w:spacing w:after="0" w:line="12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employee headcount by more than 38,000 employees since 2020;</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surpassing 530 new and retrofit aircraft featuring United's signature interior with bigger bins, seatback screens at every seat and Bluetooth connectivity;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Company's leading global network to destinations like Bangkok, Thailand; Ho Chi Minh City, Vietnam; and Adelaide, Australia.</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inaugurating service to eight new destinations: Nuuk, Greenland; Ulaanbaatar, Mongolia; Faro, Portugal; Puerto Escondido, Mexico; Palermo, Italy; Bilbao, Spain; and Madeira Island, Portugal.</w:t>
      </w:r>
    </w:p>
    <w:p>
      <w:pPr>
        <w:spacing w:after="0" w:line="104" w:lineRule="exact"/>
        <w:rPr>
          <w:rFonts w:ascii="Times New Roman" w:cs="Times New Roman" w:eastAsia="Times New Roman" w:hAnsi="Times New Roman"/>
          <w:sz w:val="18"/>
          <w:szCs w:val="18"/>
          <w:color w:val="auto"/>
        </w:rPr>
      </w:pPr>
    </w:p>
    <w:p>
      <w:pPr>
        <w:ind w:left="660" w:right="14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Kinective Media</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 the first media network that uses insights from travel behaviors to connect customers to personalized advertising, experiences and offers from leading brands;</w:t>
      </w:r>
    </w:p>
    <w:p>
      <w:pPr>
        <w:spacing w:after="0" w:line="145"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bringing Starlink's Wi-Fi service (the world's fastest, most reliable Wi-Fi in the sky) to our United Express regional aircraft and beginning installation on our mainline aircraft;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significant technology changes that empower the Company's employees and improve the customer experience.</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Regional. </w:t>
      </w:r>
      <w:r>
        <w:rPr>
          <w:rFonts w:ascii="Times New Roman" w:cs="Times New Roman" w:eastAsia="Times New Roman" w:hAnsi="Times New Roman"/>
          <w:sz w:val="18"/>
          <w:szCs w:val="18"/>
          <w:color w:val="auto"/>
        </w:rPr>
        <w:t>The Company's business and operations are dependent on its regional flight network, with regional capacity accounting for approximately 6.1%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Company's total capacity for the year ended December 31, 2025. The Company has contractual relationships with various regional carriers to provide regional aircraft service branded as United Express. This regional service complements our operations by carrying traffic that connects to our hubs and allows flights to smaller cities that cannot be provided economically with mainline aircraft. CommuteAir LLC ("CommuteAir"), GoJet Airlines, LLC ("GoJet"), Mesa Airlines, Inc. ("Mesa"), Republic Airways Inc. ("Republic") and SkyWest Airlines, Inc. ("SkyWest") are all regional carriers that operate with capacity contracted to United under capacity purchase agreements ("CPAs"). Under these CPAs, the Company pays the regional carriers contractually agreed fees (carrier costs) for operating these flights plus a variable rate adjustment based on agreed performance metrics, subject to annual adjustments. The fees are based on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In return, the regional carriers operate the capacity of the aircraft included within the scope of such CPA exclusively for United, on schedules determined by the Company. The Company also determines pricing and revenue management, assumes the inventory and distribution risk for the available seats and permits mileage accrual and redemption for regional flights through its MileagePlus loyalty program.</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Alliances. </w:t>
      </w:r>
      <w:r>
        <w:rPr>
          <w:rFonts w:ascii="Times New Roman" w:cs="Times New Roman" w:eastAsia="Times New Roman" w:hAnsi="Times New Roman"/>
          <w:sz w:val="18"/>
          <w:szCs w:val="18"/>
          <w:color w:val="auto"/>
        </w:rPr>
        <w:t>United is a member of Star Alliance, a global integrated airline network and the largest and most comprehensive airline alliance in the world.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Star Alliance member carriers continued to serve more than 1,150 airports in more than 190 countries and territories with 17,500 average daily departures. Star Alliance members, in addition to United, are Aegean Airlines, Air Canada, Air China, Air India, Air New Zealand, All Nippon Airways ("ANA"), Asiana Airlines, Austrian Airlines, Aerovías del Continente Americano (Avianca), Brussels Airlines, Copa Airlines, Croatia Airlines, EGYPTAIR, Ethiopian Airlines, EVA Air, LOT Polish Airlines, Lufthansa, Shenzhen Airlines, Singapore Airlines, South African Airways, SWISS, TAP Air Portugal, THAI Airways International and Turkish Airlines. In addition to its members, Star Alliance includes Shanghai-based Juneyao Airlines as a connecting partner and Germany-based Deutsche Bahn and Austria-based ÖBB – Austrian Federal Railways as railway intermodal partners. Lufthansa City Airlines joined Star Alliance as part of Lufthansa.</w:t>
      </w:r>
    </w:p>
    <w:p>
      <w:pPr>
        <w:spacing w:after="0" w:line="13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United has a variety of bilateral commercial alliance agreements and obligations with Star Alliance members, addressing, among other things, reciprocal earning and redemption of frequent flyer miles, access to airport lounges and, with certain Star Alliance members, codesharing of flight operations (whereby one carrier's selected flights can be marketed under the brand name of another carrier). In addition to the alliance agreements with Star Alliance members, United currently maintains independent alliance agreements with other air carriers, including Aer Lingus, Air Dolomiti, Airlink, Azul Linhas Aéreas Brasileiras, Cape Air, Discover Airlines, Edelweiss Air, Emirates, Eurowings, flydubai, Hawaiian Airlines, ITA Airways, JetBlue, JetSuiteX, Olympic Air and Virgin Australia Airlines.</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United also participates in four passenger joint business arrangements ("JBAs"): one with Air Canada and the Lufthansa Group (which includes Lufthansa and its affiliates Air Dolomiti, Austrian Airlines, Brussels Airlines, Discover Airlines, Edelweiss, Eurowings, Lufthansa City Airlines and SWISS) covering transatlantic routes, one with ANA covering certain transpacific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routes, one with Air New Zealand covering certain routes between the United States and New Zealand, and one with Air Canada covering certain United States and Canada transborder routes. These passenger JBAs enable the participating carriers to integrate the services they provide in the respective regions, capturing revenue synergies and delivering enhanced customer benefits, such as highly competitive flight schedules, fares and services. Separate from the passenger JBAs, United is also a party to a JBA with Lufthansa for transatlantic cargo services. This cargo JBA offers expanded and more seamless access to cargo space across the carriers' respective combined networks.</w:t>
      </w:r>
    </w:p>
    <w:p>
      <w:pPr>
        <w:spacing w:after="0" w:line="1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Loyalty Program. </w:t>
      </w:r>
      <w:r>
        <w:rPr>
          <w:rFonts w:ascii="Times New Roman" w:cs="Times New Roman" w:eastAsia="Times New Roman" w:hAnsi="Times New Roman"/>
          <w:sz w:val="18"/>
          <w:szCs w:val="18"/>
          <w:color w:val="auto"/>
        </w:rPr>
        <w:t>United's MileagePlus loyalty program builds customer loyalty by offering awards, benefits and services to program participants.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in this program earn miles for flights on United, United Express, Star Alliance members and certain other airlines that participate in the program. Members can also earn miles by purchasing goods and services from our network of non-airline partners, such as domestic and international credit card issuers, retail merchants, hotels and car rental companies. Members can redeem miles for free (other than taxes and government-imposed fees), discounted or upgraded travel and non-travel awards.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United has an agreement with JPMorgan Chase Bank, N.A. ("Chase"), pursuant to which members of United's MileagePlus loyalty program who are residents of the United States can earn miles for making purchases using a MileagePlus credit card issued by Chase (the "Co-Brand Agreement"). The Co-Brand Agreement also provides for joint marketing and other support for the MileagePlus credit card and provides Chase with other benefits such as permission to market to the Company's customer database.</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2025, approximately 10.9 million MileagePlus flight awards were used on United and United Express. These awards represented approximately 10.3% of United's total revenue passenger miles. Total miles redeemed for flights on United and United Express, including class-of-service upgrades, represented approximately 90% of the total miles redeemed. In addition, excluding miles redeemed for flights on United and United Express, MileagePlus members redeemed miles for approximately 4.3 million other awards. These awards include United Club memberships, car and hotel awards, merchandise and flights on other air carriers.</w:t>
      </w:r>
    </w:p>
    <w:p>
      <w:pPr>
        <w:spacing w:after="0" w:line="44"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Cargo. </w:t>
      </w:r>
      <w:r>
        <w:rPr>
          <w:rFonts w:ascii="Times New Roman" w:cs="Times New Roman" w:eastAsia="Times New Roman" w:hAnsi="Times New Roman"/>
          <w:sz w:val="18"/>
          <w:szCs w:val="18"/>
          <w:color w:val="auto"/>
        </w:rPr>
        <w:t>The Company provides freight and mail transportation services ("Air Cargo"). The majority of Air Cargo services are provided to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freight forwarders, logistics firms and national postal services. Through our global network, the Company's Air Cargo operations are able to connect the world's major freight gateways. The Company generates Air Cargo revenues in domestic and international markets through the use of cargo capacity on regularly scheduled passenger flights, interline and charter flights, and ground trucking arrangements.</w:t>
      </w:r>
    </w:p>
    <w:p>
      <w:pPr>
        <w:spacing w:after="0" w:line="14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Channels. </w:t>
      </w:r>
      <w:r>
        <w:rPr>
          <w:rFonts w:ascii="Times New Roman" w:cs="Times New Roman" w:eastAsia="Times New Roman" w:hAnsi="Times New Roman"/>
          <w:sz w:val="18"/>
          <w:szCs w:val="18"/>
          <w:color w:val="auto"/>
        </w:rPr>
        <w:t>The Company sells airline tickets and ancillary products through a wide range of distribution channels, including direct channels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the Company's website at www.united.com and the Company's mobile app, as well as traditional travel agencies, online travel agencies ("OTAs") and other intermediaries. The Company seeks to make its products available across these channels to support customer choice, subject to the technological capabilities and commercial arrangements applicable to each channel.</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continues to invest in modernizing its distribution systems, including enhancements to its direct channels and implementing New Distribution Capability ("NDC"), to support the marketing and sale of its products. Direct channels, including the Company's website, the Company's mobile app and NDC-enabled channels, provide opportunities to better differentiate the Company's offerings, present richer content, deliver more relevant offers, strengthen customer relationships, improve customer service, enhance brand engagement and reduce ticket distribution costs. However, a portion of the Company's ticket sales continues to be distributed through legacy distribution technology, which may involve higher costs and more limited functionality compared to the Company's direct and NDC channels.</w:t>
      </w:r>
    </w:p>
    <w:p>
      <w:pPr>
        <w:spacing w:after="0" w:line="1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Third-Party Business. </w:t>
      </w:r>
      <w:r>
        <w:rPr>
          <w:rFonts w:ascii="Times New Roman" w:cs="Times New Roman" w:eastAsia="Times New Roman" w:hAnsi="Times New Roman"/>
          <w:sz w:val="18"/>
          <w:szCs w:val="18"/>
          <w:color w:val="auto"/>
        </w:rPr>
        <w:t>United generates third-party business revenue that includes maintenance services, frequent flyer award non-travel redemptions,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flight academy and ground handling.</w:t>
      </w:r>
    </w:p>
    <w:p>
      <w:pPr>
        <w:spacing w:after="0" w:line="10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Aircraft Fuel. </w:t>
      </w:r>
      <w:r>
        <w:rPr>
          <w:rFonts w:ascii="Times New Roman" w:cs="Times New Roman" w:eastAsia="Times New Roman" w:hAnsi="Times New Roman"/>
          <w:sz w:val="18"/>
          <w:szCs w:val="18"/>
          <w:color w:val="auto"/>
        </w:rPr>
        <w:t>The table below summarizes the fuel consumption and expense of UAL's aircraft (including the operations of our regional carriers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CPAs) during the last three years.</w:t>
      </w:r>
    </w:p>
    <w:tbl>
      <w:tblPr>
        <w:tblLayout w:type="fixed"/>
        <w:tblInd w:w="0" w:type="dxa"/>
        <w:tblCellMar>
          <w:top w:w="0" w:type="dxa"/>
          <w:left w:w="0" w:type="dxa"/>
          <w:bottom w:w="0" w:type="dxa"/>
          <w:right w:w="0" w:type="dxa"/>
        </w:tblCellMar>
      </w:tblPr>
      <w:tr>
        <w:trPr>
          <w:trHeight w:val="186"/>
        </w:trPr>
        <w:tc>
          <w:tcPr>
            <w:tcW w:w="2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rPr>
              <w:t>Gallons Consumed</w:t>
            </w:r>
          </w:p>
        </w:tc>
        <w:tc>
          <w:tcPr>
            <w:tcW w:w="320" w:type="dxa"/>
            <w:vAlign w:val="bottom"/>
          </w:tcPr>
          <w:p>
            <w:pPr>
              <w:spacing w:after="0"/>
              <w:rPr>
                <w:sz w:val="16"/>
                <w:szCs w:val="16"/>
                <w:color w:val="auto"/>
              </w:rPr>
            </w:pPr>
          </w:p>
        </w:tc>
        <w:tc>
          <w:tcPr>
            <w:tcW w:w="200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Fuel Expense</w:t>
            </w:r>
          </w:p>
        </w:tc>
        <w:tc>
          <w:tcPr>
            <w:tcW w:w="2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Per Gallon</w:t>
            </w:r>
          </w:p>
        </w:tc>
        <w:tc>
          <w:tcPr>
            <w:tcW w:w="24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Percentage of Total Operating</w:t>
            </w:r>
          </w:p>
        </w:tc>
        <w:tc>
          <w:tcPr>
            <w:tcW w:w="0" w:type="dxa"/>
            <w:vAlign w:val="bottom"/>
          </w:tcPr>
          <w:p>
            <w:pPr>
              <w:spacing w:after="0"/>
              <w:rPr>
                <w:sz w:val="1"/>
                <w:szCs w:val="1"/>
                <w:color w:val="auto"/>
              </w:rPr>
            </w:pPr>
          </w:p>
        </w:tc>
      </w:tr>
      <w:tr>
        <w:trPr>
          <w:trHeight w:val="243"/>
        </w:trPr>
        <w:tc>
          <w:tcPr>
            <w:tcW w:w="2000" w:type="dxa"/>
            <w:vAlign w:val="bottom"/>
            <w:gridSpan w:val="2"/>
            <w:vMerge w:val="continue"/>
          </w:tcPr>
          <w:p>
            <w:pPr>
              <w:spacing w:after="0"/>
              <w:rPr>
                <w:sz w:val="21"/>
                <w:szCs w:val="21"/>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21"/>
                <w:szCs w:val="21"/>
                <w:color w:val="auto"/>
              </w:rPr>
            </w:pP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40" w:type="dxa"/>
            <w:vAlign w:val="bottom"/>
            <w:gridSpan w:val="3"/>
            <w:vMerge w:val="continue"/>
          </w:tcPr>
          <w:p>
            <w:pPr>
              <w:spacing w:after="0"/>
              <w:rPr>
                <w:sz w:val="21"/>
                <w:szCs w:val="21"/>
                <w:color w:val="auto"/>
              </w:rPr>
            </w:pPr>
          </w:p>
        </w:tc>
        <w:tc>
          <w:tcPr>
            <w:tcW w:w="24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2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17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2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operational and financial results can be significantly impacted by changes in the price and availability of aircraft fuel. The Company routinely enters into purchase contracts based on expected fuel requirements primarily for UAL aircraft (including regional carriers operating under CPAs) that are generally indexed to various market price benchmarks for aircraft fuel. These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contracts customarily do not provide material protection against changes in market prices or guarantee the uninterrupted availability of adequate quantities of aircraft fuel. The price of aircraft fuel used by our operations has fluctuated in the past and is expected to remain volatile due to numerous factors including the increasing adoption of mandated SAF across certain markets. The Company's current strategy is to not enter into financial transactions to hedge the market price exposure of its expected fuel consumption, although the Company regularly reviews its strategy based on market conditions and other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Conditions</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Domestic Competition. </w:t>
      </w:r>
      <w:r>
        <w:rPr>
          <w:rFonts w:ascii="Times New Roman" w:cs="Times New Roman" w:eastAsia="Times New Roman" w:hAnsi="Times New Roman"/>
          <w:sz w:val="18"/>
          <w:szCs w:val="18"/>
          <w:color w:val="auto"/>
        </w:rPr>
        <w:t>The domestic airline industry is highly competitive and dynamic. The Company's competitors consist primarily of other airlines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to a certain extent, other forms of transportation. Currently, any U.S. carrier deemed fit by the U.S. Department of Transportation (the "DOT") is largely free to operate scheduled passenger service between any two points within the United States. Competition can be direct, in the form of another carrier flying the exact non-stop route, or indirect, where a carrier serves the same two cities non-stop from an alternative airport in that city or via an itinerary requiring a connection at another airport. Air carriers' cost structures are not uniform and are influenced by numerous factors. Carriers with lower costs may offer lower fares to passengers, which could have a potential negative impact on the Company's revenues. Domestic pricing decisions are impacted by intense competitive pressure exerted on the Company by other U.S. airlines. In order to remain competitive and maintain passenger traffic levels, we often find it necessary to match competitors' discounted fares.</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Competition. </w:t>
      </w:r>
      <w:r>
        <w:rPr>
          <w:rFonts w:ascii="Times New Roman" w:cs="Times New Roman" w:eastAsia="Times New Roman" w:hAnsi="Times New Roman"/>
          <w:sz w:val="18"/>
          <w:szCs w:val="18"/>
          <w:color w:val="auto"/>
        </w:rPr>
        <w:t>Internationally, the Company competes not only with U.S. airlines, but also with foreign carriers. International competition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and may continue to increase in the future as a result of airline mergers and acquisitions, JBAs, alliances, restructurings, liberalization of aviation bilateral agreements and new or increased service by competitors. Competition on international routes is subject to varying degrees of governmental regulation. The Company's ability to compete successfully with non-U.S. carriers on international routes depends in part on its ability to generate traffic to and from the entire United States via its integrated domestic route network and its ability to overcome business and operational challenges across its network worldwide. Foreign carriers currently are prohibited by U.S. law from carrying local passengers between two points in the United States and the Company generally experiences comparable restrictions in foreign countries. Separately, "fifth freedom rights" allow the Company to operate between points in two different foreign countries and foreign carriers may also have fifth freedom rights between the U.S. and another foreign country. In the absence of fifth freedom rights, or some other extra-bilateral right to conduct operations between two foreign countries, U.S. carriers are constrained from carrying passengers to points beyond designated international gateway cities. To compensate partially for these structural limitations, U.S. and foreign carriers have entered into alliances, immunized JBAs and marketing arrangements that enable these carriers to exchange traffic between each other's flights and route networks. Through these arrangements, the Company strives to provide consumers with a growing number of seamless, cost-effective and convenient travel options. See "Alliances" for additional information.</w:t>
      </w:r>
    </w:p>
    <w:p>
      <w:pPr>
        <w:spacing w:after="0" w:line="1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The air travel business is subject to seasonal fluctuations. Although the Company's fourth quarter revenue exceeded each of the second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third quarter in 2025, historically, demand for air travel is higher in the second and third quarters, driving higher revenues, than in the first and fourth quarters, which are periods of lower travel demand.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Corporate Citizenship and Value Creation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United "Good Leads the Way" is more than a slogan; it fuels our mission to build the world's biggest and best airline. Our employees around the world are joined together to enable connections that matter and move society—whether it is connecting people across cultures, flying a loved one to a wedding, connecting medical professionals at a breakthrough conference or getting a business traveler to an important meeting or back home in time for a child's big game.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Today United is viewed not only as a leader among our peer airlines but as a leader among the world's largest corporations. Our leadership is driven by our desire to blaze new trails by being a force for good, responsive to the world in which we operate, responsible for our actions and committed to doing the right thing. United has devoted its brand, reputation, resources, time and effort to pursuing corporate citizenship goals aimed to generate the most impactful results that we can create. Simply, we aspire to use our influence and scale to lead in a way that inspires the world to action. Over the last few years, we have made historic investments to fight climate change and provided career opportunities to thousands of people.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set forth below three of our corporate citizenship focus areas.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Culture</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United, safety is first in everything that the Company does and is its first service standard of Core4 (the Company is safe, then caring, dependable and efficient). Guided by the overarching message that there are "No Small Roles in Safety," the Company is concentrated on promoting a strong safety culture to help ensure that every employee across United holds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themselves and each other to the highest safety standards. The Company's laser focus on the health, safety and security of its employees and customers is not only essential to its operational and financial success but also defines the Company as an organization—making safety accountability a non-negotiable aspect of its culture.</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FAA-approved Safety Management System ("SMS") is a cornerstone component that helps enable the Company to uphold regulatory compliance safety standards, proactively identify hazards, mitigate risks and elevate corrective actions to help ensure the safety of its customers and employees. The Company continues to evaluate, expand and shape its SMS to incorporate new areas of the business to help reduce risk as the Company grows its aircraft fleet and expands the destinations that it serves. In addition, just as the Company has invested in infrastructure, technology and tools, the Company is also investing in the training and development of its employees—especially those who are new to United—to help ensure they gain proficiency in their roles and stay safe in the workplace.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approach to safety entails four overarching objectives:</w:t>
      </w:r>
    </w:p>
    <w:p>
      <w:pPr>
        <w:spacing w:after="0" w:line="169" w:lineRule="exact"/>
        <w:rPr>
          <w:sz w:val="20"/>
          <w:szCs w:val="20"/>
          <w:color w:val="auto"/>
        </w:rPr>
      </w:pPr>
    </w:p>
    <w:p>
      <w:pPr>
        <w:ind w:left="660" w:right="38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 just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focuses on fostering an engaged, proactive and just safety culture that prioritizes and protects the well-being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of all employees.</w:t>
      </w:r>
    </w:p>
    <w:p>
      <w:pPr>
        <w:spacing w:after="0" w:line="104" w:lineRule="exact"/>
        <w:rPr>
          <w:rFonts w:ascii="Times New Roman" w:cs="Times New Roman" w:eastAsia="Times New Roman" w:hAnsi="Times New Roman"/>
          <w:sz w:val="18"/>
          <w:szCs w:val="18"/>
          <w:color w:val="auto"/>
        </w:rPr>
      </w:pPr>
    </w:p>
    <w:p>
      <w:pPr>
        <w:ind w:left="660" w:right="240" w:hanging="328"/>
        <w:spacing w:after="0" w:line="28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Regulatory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a culture whereby the Company's employees are required to consistently follow and adhere to policies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requirements is one of the Company's pillars.</w:t>
      </w:r>
    </w:p>
    <w:p>
      <w:pPr>
        <w:spacing w:after="0" w:line="104" w:lineRule="exact"/>
        <w:rPr>
          <w:rFonts w:ascii="Times New Roman" w:cs="Times New Roman" w:eastAsia="Times New Roman" w:hAnsi="Times New Roman"/>
          <w:sz w:val="18"/>
          <w:szCs w:val="18"/>
          <w:i w:val="1"/>
          <w:iCs w:val="1"/>
          <w:color w:val="auto"/>
        </w:rPr>
      </w:pPr>
    </w:p>
    <w:p>
      <w:pPr>
        <w:ind w:left="660" w:right="80" w:hanging="328"/>
        <w:spacing w:after="0" w:line="28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Flight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flight safety and operational risks by keeping the Company's aircraft safe and airworthy is a cornerstone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objectives.</w:t>
      </w:r>
    </w:p>
    <w:p>
      <w:pPr>
        <w:spacing w:after="0" w:line="106" w:lineRule="exact"/>
        <w:rPr>
          <w:rFonts w:ascii="Times New Roman" w:cs="Times New Roman" w:eastAsia="Times New Roman" w:hAnsi="Times New Roman"/>
          <w:sz w:val="18"/>
          <w:szCs w:val="18"/>
          <w:i w:val="1"/>
          <w:iCs w:val="1"/>
          <w:color w:val="auto"/>
        </w:rPr>
      </w:pPr>
    </w:p>
    <w:p>
      <w:pPr>
        <w:ind w:left="660" w:right="1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operating procedure.</w:t>
      </w:r>
      <w:r>
        <w:rPr>
          <w:rFonts w:ascii="Times New Roman" w:cs="Times New Roman" w:eastAsia="Times New Roman" w:hAnsi="Times New Roman"/>
          <w:sz w:val="18"/>
          <w:szCs w:val="18"/>
          <w:color w:val="auto"/>
        </w:rPr>
        <w:t xml:space="preserve"> The Company drives adherence to its standard operating procedures to help ensure an accountable, consistent and safe operation.</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Board provides significant oversight of its safety processes and procedures, which includes a review of management's development, implementation and maintenance of the Company's safety management system, objectives, culture, training and reporting. Board meeting sessions typically start with a presentation on current and potential future safety considerations affecting the Company—both in the air and on the ground.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Sustainability Strategy</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commitment to operating an environmentally sustainable airline is woven into its long-term strategy. The Company believes that it is critical to continue to serve its purpose of connecting people and uniting the world and is focused on finding actionable solutions that reduce the environmental impact of its operations and manage operational costs in its energy supply while also achieving its financial goals and creating long-term value for its stockholders.</w:t>
      </w:r>
    </w:p>
    <w:p>
      <w:pPr>
        <w:spacing w:after="0" w:line="126"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At the end of 2020, the Company pledged a net zero goal to reduce its greenhouse gas ("GHG") emissions by 100% by 2050 without relying on the use of voluntary, traditional carbon offsets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To support its net zero goal, the Company also established a mid-term target of reducing, compared to 2019, its carbon emissions intensity by 50% by 2035, which has been validated by the Science Based Targets initiative (SBTi).</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sustainability strategy continues to be centered around four key pillars, each of which is described in further detail below: (i) drive fuel efficiencies and innovation in flight; (ii) adopt more sustainable alternatives to conventional jet fuel; (iii) integrate sustainability efforts at every altitude; and (iv) collaborate with partners. These pillars cover not only long-term actions within the Company's operations but also support the low-carbon transition of the transportation and aviation industry as a whole. The Company is hopeful that its sustainability strategy will help position it to succeed in an increasingly resource-constrained world.</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(the "Board"), including through its Public Responsibility Committee, provides oversight of its environmental sustainability and climate-related strategic goals and objectives to ensure integration with its core business strategy. Management periodically updates the Board on the implementation of the Company's climate strategic goals and objectives. The Board, including through its Public Responsibility Committee, also oversees management's identification, evaluation and monitoring of environmental (including climate-related) trends, issues, concerns, risks and opportunities that affect or could affect the Company's reputation, business activities, strategies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7" w:lineRule="exact"/>
        <w:rPr>
          <w:sz w:val="20"/>
          <w:szCs w:val="20"/>
          <w:color w:val="auto"/>
        </w:rPr>
      </w:pPr>
    </w:p>
    <w:p>
      <w:pPr>
        <w:jc w:val="both"/>
        <w:ind w:right="120" w:firstLine="8"/>
        <w:spacing w:after="0" w:line="241" w:lineRule="auto"/>
        <w:tabs>
          <w:tab w:leader="none" w:pos="10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Traditional carbon offsets refer to carbon credits generated through the avoidance and/or reduction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that would have otherwise occurred outside a company's value chain. Traditional carbon offsets do not include certificates conveying the attributes of renewable energy or sustainable aviation fuel, or credits related to the removal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from the atmosphere.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right="4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Drive fuel efficiencies and innovation in flight</w:t>
      </w:r>
      <w:r>
        <w:rPr>
          <w:rFonts w:ascii="Times New Roman" w:cs="Times New Roman" w:eastAsia="Times New Roman" w:hAnsi="Times New Roman"/>
          <w:sz w:val="18"/>
          <w:szCs w:val="18"/>
          <w:color w:val="auto"/>
        </w:rPr>
        <w:t>: As part of this plan, the Company is focused on improving fuel efficiency in its operations.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 focus in realizing this objective is optimizing its conventional jet fuel consumption, which is both the largest contributor to its environmental footprint and, as noted above, a sizable expense for the Company. To do so, the Company is prioritizing the introduction of newer, more fuel-efficient aircraft into its fleet as part of its United Next plan, as well as improving the fuel efficiency of its existing fleet. In conjunction with improving the fuel efficiency of its fleet, the Company has been incorporating fuel efficiency considerations within flight and ground operations, including implementing operational and procedural initiatives designed to drive fuel conservation. The Company has worked collaboratively across its organization and with Air Traffic Control ("ATC") providers to strive to improve fuel efficiency through the implementation of best practices and by training its pilots and dispatchers and supplying them with the necessary tools to execute those strategies.</w:t>
      </w:r>
    </w:p>
    <w:p>
      <w:pPr>
        <w:spacing w:after="0" w:line="130"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Adopt more sustainable alternatives to jet fuel</w:t>
      </w:r>
      <w:r>
        <w:rPr>
          <w:rFonts w:ascii="Times New Roman" w:cs="Times New Roman" w:eastAsia="Times New Roman" w:hAnsi="Times New Roman"/>
          <w:sz w:val="18"/>
          <w:szCs w:val="18"/>
          <w:color w:val="auto"/>
        </w:rPr>
        <w:t>: The Company believes that large-scale adoption of sustainable aviation fuel ("SAF")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is critical to helping mitigate its exposure to volatile fuel prices and achieving its environmental goals. SAF is an alternative to conventional jet fuel that can emit up to 85% less GHG emissions on a lifecycle basis relative to conventional jet fuel and is considered 'drop-in' ready, which means that it can be used in current operations with existing aircraft and infrastructure with few to no additional alterations required. SAF can help diversify the Company's jet fuel supply, which is its second largest operating expense and is subject to volatile global prices. Reducing its fuel consumption while diversifying its fuel supply with SAF can enhance the Company's resiliency in the face of conventional jet fuel price spikes.</w:t>
      </w:r>
    </w:p>
    <w:p>
      <w:pPr>
        <w:spacing w:after="0" w:line="128" w:lineRule="exact"/>
        <w:rPr>
          <w:rFonts w:ascii="Times New Roman" w:cs="Times New Roman" w:eastAsia="Times New Roman" w:hAnsi="Times New Roman"/>
          <w:sz w:val="18"/>
          <w:szCs w:val="18"/>
          <w:color w:val="auto"/>
        </w:rPr>
      </w:pPr>
    </w:p>
    <w:p>
      <w:pPr>
        <w:ind w:left="660" w:right="100" w:hanging="328"/>
        <w:spacing w:after="0" w:line="25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The Company is working with strategic partners to scale and commercialize the use of SAF</w:t>
      </w:r>
      <w:r>
        <w:rPr>
          <w:rFonts w:ascii="Times New Roman" w:cs="Times New Roman" w:eastAsia="Times New Roman" w:hAnsi="Times New Roman"/>
          <w:sz w:val="18"/>
          <w:szCs w:val="18"/>
          <w:color w:val="auto"/>
        </w:rPr>
        <w:t>: While the Company currently is an aviation leader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in technologies focused on decarbonizing aviation and its associated energy supply chains, SAF supply in the jet fuel market is constrained and represents, according to industry estimates, less than 1% of global commercial aviation fuel usage. Additionally, the purchase of SAF today comes with a price premium, compared to conventional jet fuel. As a result, in 2024, the total volume of SAF used in the Company's operations remained approximately 0.3% of its total aviation fuel usage. These challenges with present-day SAF have informed the Company's strategy of investing in technology to help scale the SAF market and unlock future supply for the Company.</w:t>
      </w:r>
    </w:p>
    <w:p>
      <w:pPr>
        <w:spacing w:after="0" w:line="130" w:lineRule="exact"/>
        <w:rPr>
          <w:rFonts w:ascii="Times New Roman" w:cs="Times New Roman" w:eastAsia="Times New Roman" w:hAnsi="Times New Roman"/>
          <w:sz w:val="18"/>
          <w:szCs w:val="18"/>
          <w:i w:val="1"/>
          <w:iCs w:val="1"/>
          <w:color w:val="auto"/>
        </w:rPr>
      </w:pPr>
    </w:p>
    <w:p>
      <w:pPr>
        <w:ind w:left="660" w:right="460"/>
        <w:spacing w:after="0" w:line="28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The Company has an established history of investment in, and use of, SAF. Beginning in 2015, the Company made its first investment in a company working to commercialize SAF production. In 2016, the Company became the first airline globally to start using SAF in its regular operations on an ongoing basis. The Company has progressed its SAF strategy with several notable milestones, including the following:</w:t>
      </w:r>
    </w:p>
    <w:p>
      <w:pPr>
        <w:spacing w:after="0" w:line="103" w:lineRule="exact"/>
        <w:rPr>
          <w:rFonts w:ascii="Times New Roman" w:cs="Times New Roman" w:eastAsia="Times New Roman" w:hAnsi="Times New Roman"/>
          <w:sz w:val="18"/>
          <w:szCs w:val="18"/>
          <w:i w:val="1"/>
          <w:iCs w:val="1"/>
          <w:color w:val="auto"/>
        </w:rPr>
      </w:pPr>
    </w:p>
    <w:p>
      <w:pPr>
        <w:ind w:left="1300" w:right="100" w:hanging="320"/>
        <w:spacing w:after="0" w:line="266"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launched its first-of-its-kind Eco-Skies Alliance program for corporations to help advance the SAF market by working with the Company to fund the price premium for SAF. The Company also established UAV, a corporate venture capital arm that seeks to invest in promising sustainable aviation technologies and innovation to usher in the future of air travel.</w:t>
      </w:r>
    </w:p>
    <w:p>
      <w:pPr>
        <w:spacing w:after="0" w:line="121" w:lineRule="exact"/>
        <w:rPr>
          <w:rFonts w:ascii="Times New Roman" w:cs="Times New Roman" w:eastAsia="Times New Roman" w:hAnsi="Times New Roman"/>
          <w:sz w:val="18"/>
          <w:szCs w:val="18"/>
          <w:color w:val="auto"/>
        </w:rPr>
      </w:pPr>
    </w:p>
    <w:p>
      <w:pPr>
        <w:ind w:left="1300" w:right="260" w:hanging="320"/>
        <w:spacing w:after="0" w:line="266"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Company launched the United Airlines Ventures Sustainable Flight Fund (the "Fund")—which is the first-of-its-kind investment vehicle of UAV—to support start-ups developing technologies focused on decarbonizing aviation and its associated energy supply chains, including through research and production, and technologies associated with SAF.</w:t>
      </w:r>
    </w:p>
    <w:p>
      <w:pPr>
        <w:spacing w:after="0" w:line="121"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2024-2025, the Company added four new locations to its SAF operational footprint, purchasing blended SAF for use at ORD, IAD, IAH and EWR airports.</w:t>
      </w:r>
    </w:p>
    <w:p>
      <w:pPr>
        <w:spacing w:after="0" w:line="105" w:lineRule="exact"/>
        <w:rPr>
          <w:rFonts w:ascii="Times New Roman" w:cs="Times New Roman" w:eastAsia="Times New Roman" w:hAnsi="Times New Roman"/>
          <w:sz w:val="18"/>
          <w:szCs w:val="18"/>
          <w:color w:val="auto"/>
        </w:rPr>
      </w:pPr>
    </w:p>
    <w:p>
      <w:pPr>
        <w:ind w:left="660" w:right="4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Integrate sustainability efforts at every altitude</w:t>
      </w:r>
      <w:r>
        <w:rPr>
          <w:rFonts w:ascii="Times New Roman" w:cs="Times New Roman" w:eastAsia="Times New Roman" w:hAnsi="Times New Roman"/>
          <w:sz w:val="18"/>
          <w:szCs w:val="18"/>
          <w:color w:val="auto"/>
        </w:rPr>
        <w:t>: The Company is focused on initiatives intended to drive more sustainable operations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efficiencies across the business. For example, the Company continues to progress its strategic electrification of ground service equipment ("GSE") across its hubs and stations. As of the end of 2025, over 5,800 units of the Company's GSE around the world are electric, representing approximately 41% of its GSE fleet.</w:t>
      </w:r>
    </w:p>
    <w:p>
      <w:pPr>
        <w:spacing w:after="0" w:line="125" w:lineRule="exact"/>
        <w:rPr>
          <w:rFonts w:ascii="Times New Roman" w:cs="Times New Roman" w:eastAsia="Times New Roman" w:hAnsi="Times New Roman"/>
          <w:sz w:val="18"/>
          <w:szCs w:val="18"/>
          <w:color w:val="auto"/>
        </w:rPr>
      </w:pPr>
    </w:p>
    <w:p>
      <w:pPr>
        <w:ind w:left="660" w:right="20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Collaborate with partners</w:t>
      </w:r>
      <w:r>
        <w:rPr>
          <w:rFonts w:ascii="Times New Roman" w:cs="Times New Roman" w:eastAsia="Times New Roman" w:hAnsi="Times New Roman"/>
          <w:sz w:val="18"/>
          <w:szCs w:val="18"/>
          <w:color w:val="auto"/>
        </w:rPr>
        <w:t>: The Company collaborates with employees, customers, airports, suppliers, cross-industry partners, trade associations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policymakers across its value chain to scale the supply of SAF and invest in decarbonization technology solutions. Some of the Company's highlights in this area include the following:</w:t>
      </w:r>
    </w:p>
    <w:p>
      <w:pPr>
        <w:spacing w:after="0" w:line="121" w:lineRule="exact"/>
        <w:rPr>
          <w:rFonts w:ascii="Times New Roman" w:cs="Times New Roman" w:eastAsia="Times New Roman" w:hAnsi="Times New Roman"/>
          <w:sz w:val="18"/>
          <w:szCs w:val="18"/>
          <w:color w:val="auto"/>
        </w:rPr>
      </w:pPr>
    </w:p>
    <w:p>
      <w:pPr>
        <w:ind w:left="1300" w:hanging="320"/>
        <w:spacing w:after="0" w:line="266"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led a cross-sectoral effort to incentivize SAF in Illinois, lowering the overall cost of SAF consumption at the state level. The Sustainable Aviation Fuel Purchase Credit was enacted in Illinois in February 2023 and became effective in mid-2023. The Company was the first airline to use this credit for purchases in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00" w:right="80" w:hanging="320"/>
        <w:spacing w:after="0" w:line="266" w:lineRule="auto"/>
        <w:tabs>
          <w:tab w:leader="none" w:pos="1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founding member of the nonprofit, non-partisan SAF Coalition. Formed in 2024, the SAF Coalition is an organization looking to bring together all stakeholders of the aviation fuel value chain to advocate for federal policies that support and increase domestic SAF supply, including successful advocacy to preserve and extend federal low-carbon fuel tax credits.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made progress with its environmental sustainability strategy. However, the Company expects that its absolute GHG emissions will continue to increase in the immediate future as the Company continues to grow. In addition, even though purchasing voluntary, traditional carbon offsets could present near-term emissions reductions, as outlined above, the Company aims to achieve its mid-term and long-term climate goals without relying on the use of voluntary, traditional carbon offsets. Such commitment is demonstrated by the end of the Company's customer offset program and elimination of emission reductions realized by carbon offsets as reflected in its GHG inventory. The Company continues to review and explore the evolving environmental landscape to further understand potential risks and opportunities to enhance its environmental strategy.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quantitative emissions data for fiscal years 2024 and 2023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Carbon Emissions</w:t>
            </w:r>
          </w:p>
        </w:tc>
        <w:tc>
          <w:tcPr>
            <w:tcW w:w="19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9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Direct (Scope 1) GHG Emissions in Metric Tons CO</w:t>
            </w:r>
            <w:r>
              <w:rPr>
                <w:rFonts w:ascii="Times New Roman" w:cs="Times New Roman" w:eastAsia="Times New Roman" w:hAnsi="Times New Roman"/>
                <w:sz w:val="23"/>
                <w:szCs w:val="23"/>
                <w:b w:val="1"/>
                <w:bCs w:val="1"/>
                <w:color w:val="auto"/>
                <w:vertAlign w:val="subscript"/>
              </w:rPr>
              <w:t>2</w:t>
            </w:r>
            <w:r>
              <w:rPr>
                <w:rFonts w:ascii="Times New Roman" w:cs="Times New Roman" w:eastAsia="Times New Roman" w:hAnsi="Times New Roman"/>
                <w:sz w:val="18"/>
                <w:szCs w:val="18"/>
                <w:b w:val="1"/>
                <w:bCs w:val="1"/>
                <w:color w:val="auto"/>
              </w:rPr>
              <w:t>e</w:t>
            </w:r>
          </w:p>
        </w:tc>
        <w:tc>
          <w:tcPr>
            <w:tcW w:w="26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and Net GHG emissions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38,520,027</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36,588,996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Biogenic Emissions in Metric Tons CO</w:t>
            </w:r>
            <w:r>
              <w:rPr>
                <w:rFonts w:ascii="Times New Roman" w:cs="Times New Roman" w:eastAsia="Times New Roman" w:hAnsi="Times New Roman"/>
                <w:sz w:val="23"/>
                <w:szCs w:val="23"/>
                <w:b w:val="1"/>
                <w:bCs w:val="1"/>
                <w:color w:val="auto"/>
                <w:vertAlign w:val="subscript"/>
              </w:rPr>
              <w:t>2</w:t>
            </w:r>
            <w:r>
              <w:rPr>
                <w:rFonts w:ascii="Times New Roman" w:cs="Times New Roman" w:eastAsia="Times New Roman" w:hAnsi="Times New Roman"/>
                <w:sz w:val="18"/>
                <w:szCs w:val="18"/>
                <w:b w:val="1"/>
                <w:bCs w:val="1"/>
                <w:color w:val="auto"/>
              </w:rPr>
              <w:t>e</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Biogenic (Outside of Scope) Emissions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125,374</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Indirect Emissions in Metric Tons CO</w:t>
            </w:r>
            <w:r>
              <w:rPr>
                <w:rFonts w:ascii="Times New Roman" w:cs="Times New Roman" w:eastAsia="Times New Roman" w:hAnsi="Times New Roman"/>
                <w:sz w:val="23"/>
                <w:szCs w:val="23"/>
                <w:b w:val="1"/>
                <w:bCs w:val="1"/>
                <w:color w:val="auto"/>
                <w:vertAlign w:val="subscript"/>
              </w:rPr>
              <w:t>2</w:t>
            </w:r>
            <w:r>
              <w:rPr>
                <w:rFonts w:ascii="Times New Roman" w:cs="Times New Roman" w:eastAsia="Times New Roman" w:hAnsi="Times New Roman"/>
                <w:sz w:val="18"/>
                <w:szCs w:val="18"/>
                <w:b w:val="1"/>
                <w:bCs w:val="1"/>
                <w:color w:val="auto"/>
              </w:rPr>
              <w:t>e</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Indirect (Scope 2) GHG emissions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134,497</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indirect (Scope 3) GHG emissions (a)</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13,585,207</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12,671,510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Total Net GHG Emissions in Metric Tons CO</w:t>
            </w:r>
            <w:r>
              <w:rPr>
                <w:rFonts w:ascii="Times New Roman" w:cs="Times New Roman" w:eastAsia="Times New Roman" w:hAnsi="Times New Roman"/>
                <w:sz w:val="23"/>
                <w:szCs w:val="23"/>
                <w:b w:val="1"/>
                <w:bCs w:val="1"/>
                <w:color w:val="auto"/>
                <w:vertAlign w:val="subscript"/>
              </w:rPr>
              <w:t>2</w:t>
            </w:r>
            <w:r>
              <w:rPr>
                <w:rFonts w:ascii="Times New Roman" w:cs="Times New Roman" w:eastAsia="Times New Roman" w:hAnsi="Times New Roman"/>
                <w:sz w:val="18"/>
                <w:szCs w:val="18"/>
                <w:b w:val="1"/>
                <w:bCs w:val="1"/>
                <w:color w:val="auto"/>
              </w:rPr>
              <w:t>e (b)</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52,239,731</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49,404,525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Carbon Emissions Intensity Rates (c)</w:t>
            </w:r>
          </w:p>
        </w:tc>
        <w:tc>
          <w:tcPr>
            <w:tcW w:w="19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9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r>
      <w:tr>
        <w:trPr>
          <w:trHeight w:val="223"/>
        </w:trPr>
        <w:tc>
          <w:tcPr>
            <w:tcW w:w="6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Emissions Intensity per Revenue ton-kilometer ("RTK")</w:t>
            </w:r>
          </w:p>
        </w:tc>
        <w:tc>
          <w:tcPr>
            <w:tcW w:w="26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Mainline RTKs (millions) (d)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49,711</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w:t>
            </w:r>
          </w:p>
        </w:tc>
        <w:tc>
          <w:tcPr>
            <w:tcW w:w="180" w:type="dxa"/>
            <w:vAlign w:val="bottom"/>
          </w:tcPr>
          <w:p>
            <w:pPr>
              <w:spacing w:after="0"/>
              <w:rPr>
                <w:sz w:val="19"/>
                <w:szCs w:val="19"/>
                <w:color w:val="auto"/>
              </w:rPr>
            </w:pPr>
          </w:p>
        </w:tc>
      </w:tr>
      <w:tr>
        <w:trPr>
          <w:trHeight w:val="229"/>
        </w:trPr>
        <w:tc>
          <w:tcPr>
            <w:tcW w:w="700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Metric tons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e/1,000 mainline and regional RTKs (e)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tcPr>
          <w:p>
            <w:pPr>
              <w:spacing w:after="0"/>
              <w:rPr>
                <w:sz w:val="19"/>
                <w:szCs w:val="19"/>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Emissions Intensity per Available Seat Mile ("ASM")</w:t>
            </w: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ASMs (millions) (f)</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311,185</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291,333</w:t>
            </w:r>
          </w:p>
        </w:tc>
        <w:tc>
          <w:tcPr>
            <w:tcW w:w="180" w:type="dxa"/>
            <w:vAlign w:val="bottom"/>
          </w:tcPr>
          <w:p>
            <w:pPr>
              <w:spacing w:after="0"/>
              <w:rPr>
                <w:sz w:val="19"/>
                <w:szCs w:val="19"/>
                <w:color w:val="auto"/>
              </w:rPr>
            </w:pPr>
          </w:p>
        </w:tc>
      </w:tr>
      <w:tr>
        <w:trPr>
          <w:trHeight w:val="230"/>
        </w:trPr>
        <w:tc>
          <w:tcPr>
            <w:tcW w:w="7000" w:type="dxa"/>
            <w:vAlign w:val="bottom"/>
            <w:tcBorders>
              <w:bottom w:val="single" w:sz="8" w:color="auto"/>
            </w:tcBorders>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Metric tons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e/1,000 mainline and regional ASMs (g)</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Borders>
              <w:bottom w:val="single" w:sz="8" w:color="auto"/>
            </w:tcBorders>
          </w:tcPr>
          <w:p>
            <w:pPr>
              <w:spacing w:after="0"/>
              <w:rPr>
                <w:sz w:val="19"/>
                <w:szCs w:val="19"/>
                <w:color w:val="auto"/>
              </w:rPr>
            </w:pPr>
          </w:p>
        </w:tc>
      </w:tr>
    </w:tbl>
    <w:p>
      <w:pPr>
        <w:ind w:left="260" w:hanging="234"/>
        <w:spacing w:after="0" w:line="23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Scope 3 categories 3, 4, 7, 14 and 15.</w:t>
      </w:r>
    </w:p>
    <w:p>
      <w:pPr>
        <w:ind w:left="260" w:hanging="234"/>
        <w:spacing w:after="0" w:line="20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biogenic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emissions in accordance with the Greenhouse Gas Protocol.</w:t>
      </w:r>
    </w:p>
    <w:p>
      <w:pPr>
        <w:ind w:left="260" w:hanging="234"/>
        <w:spacing w:after="0" w:line="22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Intensity rates and operational figures are calculated based on third-party verified data for 2024 and 2023.</w:t>
      </w:r>
    </w:p>
    <w:p>
      <w:pPr>
        <w:ind w:left="260" w:hanging="234"/>
        <w:spacing w:after="0" w:line="22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mainline revenue (passenger and cargo) tons transported multiplied by the number of kilometers flown on each segment.</w:t>
      </w:r>
    </w:p>
    <w:p>
      <w:pPr>
        <w:ind w:left="260" w:right="180" w:hanging="234"/>
        <w:spacing w:after="0" w:line="211" w:lineRule="auto"/>
        <w:tabs>
          <w:tab w:leader="none" w:pos="25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1+2 and Scope 3 (categories 3 and 4) emissions/mainline+regional RTKs; metric used for tracking progress against the Company's 2035 carbon emissions intensity and 2050 carbon emission goals.</w:t>
      </w:r>
    </w:p>
    <w:p>
      <w:pPr>
        <w:ind w:left="260" w:hanging="234"/>
        <w:spacing w:after="0" w:line="22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seats available for passengers multiplied by the number of scheduled miles those seats are flown.</w:t>
      </w:r>
    </w:p>
    <w:p>
      <w:pPr>
        <w:ind w:left="260" w:hanging="234"/>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1+2 and Scope 3 (categories 3, 4, 7 and 14) emissions/mainline+regional ASMs.</w:t>
      </w:r>
    </w:p>
    <w:p>
      <w:pPr>
        <w:spacing w:after="0" w:line="201" w:lineRule="exact"/>
        <w:rPr>
          <w:sz w:val="20"/>
          <w:szCs w:val="20"/>
          <w:color w:val="auto"/>
        </w:rPr>
      </w:pPr>
    </w:p>
    <w:p>
      <w:pPr>
        <w:ind w:left="20" w:right="240" w:firstLine="6"/>
        <w:spacing w:after="0" w:line="261" w:lineRule="auto"/>
        <w:tabs>
          <w:tab w:leader="none" w:pos="12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has been revised since the publication of the Company's Annual Report on Form 10-K for the fiscal year ended December 31, 2024 filed with the SEC on February 27, 2025 (the "2024 Annual Report") to incorporate additional SAF volumes for which supporting documentation was received after the initial filing.</w:t>
      </w:r>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aligns its environmental sustainability disclosures through third-party reporting organizations, frameworks and standards—including the recommendations from the Task Force on Climate-related Financial Disclosures—as well as applicable mandatory disclosure requirements. Additional information on United's commitment to environmental sustainability is available at united.com/sustainability. The information contained on or connected to the Company's website is not incorporated by reference into this Form 10-K and should not be considered part of this or any other report filed with the SEC.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 and Resources</w:t>
      </w:r>
    </w:p>
    <w:p>
      <w:pPr>
        <w:spacing w:after="0" w:line="173"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Demographics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2025, UAL, including its subsidiaries, had approximately 113,200 employees, of whom approximately 83%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various U.S. labor organizations. See the section "The maintenance of the Company's relationships with its labor unions" below for information on the Company's represented employee groups.</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People &amp;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its employees represent the brightest and highest-performing people in the aviation industry and embody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mission to build the world's biggest and best airline. The Company's continued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ability to recruit, hire, develop, motivate and retain skilled personnel with industry experience and knowledge at all levels of its organization by being an employer of choice is foundational to its success in the highly competitive aviation industry, especially in light of its ambitious growth agenda under the United Next plan. The Company's human capital management strategy is designed to help it attract and develop a deep talent base with the skills, experiences, knowledge and backgrounds to drive the United Next objectives as well as thrive in the face of change; provide them with the tools to prepare them for critical roles and leadership positions in the future; and reward and retain them with competitive compensation and benefits. The Company is proud of its unique culture and plans to continue to execute its human capital management strategy through the following:</w:t>
      </w:r>
    </w:p>
    <w:p>
      <w:pPr>
        <w:spacing w:after="0" w:line="13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Talent acquisition and internal talent mobility process and succession planning.</w:t>
      </w:r>
    </w:p>
    <w:p>
      <w:pPr>
        <w:spacing w:after="0" w:line="171" w:lineRule="exact"/>
        <w:rPr>
          <w:sz w:val="20"/>
          <w:szCs w:val="20"/>
          <w:color w:val="auto"/>
        </w:rPr>
      </w:pPr>
    </w:p>
    <w:p>
      <w:pPr>
        <w:ind w:left="660"/>
        <w:spacing w:after="0" w:line="276" w:lineRule="auto"/>
        <w:rPr>
          <w:sz w:val="20"/>
          <w:szCs w:val="20"/>
          <w:color w:val="auto"/>
        </w:rPr>
      </w:pPr>
      <w:r>
        <w:rPr>
          <w:rFonts w:ascii="Times New Roman" w:cs="Times New Roman" w:eastAsia="Times New Roman" w:hAnsi="Times New Roman"/>
          <w:sz w:val="17"/>
          <w:szCs w:val="17"/>
          <w:color w:val="auto"/>
        </w:rPr>
        <w:t>The Company developed talent acquisition tools and programs to help it continue to (i) attract and identify the best-qualified candidates who can deliver the highest levels of service to its customers, which generates the profitability to help fund the Company's future and reward its employees;</w:t>
      </w:r>
    </w:p>
    <w:p>
      <w:pPr>
        <w:spacing w:after="0" w:line="1" w:lineRule="exact"/>
        <w:rPr>
          <w:sz w:val="20"/>
          <w:szCs w:val="20"/>
          <w:color w:val="auto"/>
        </w:rPr>
      </w:pPr>
    </w:p>
    <w:p>
      <w:pPr>
        <w:ind w:left="660" w:right="280" w:hanging="4"/>
        <w:spacing w:after="0" w:line="253" w:lineRule="auto"/>
        <w:tabs>
          <w:tab w:leader="none" w:pos="9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Company's recruiting, retention and leadership development goals are systematically executed throughout United; and (iii) broaden and strengthen its talent channels and pipelines so that the Company can cultivate the next generation of talent that will lead it into the future. In 2025, the Company hired approximately 13,100 employees across the globe through its external career site, professional association partnerships, employee referrals, universities, the U.S. Military and other external sources.</w:t>
      </w:r>
    </w:p>
    <w:p>
      <w:pPr>
        <w:spacing w:after="0" w:line="135"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In addition to the development of its external talent pipeline, the Company's human resources programs are designed to facilitate internal talent mobility. The Company encourages its employees to identify the paths that can build the skills, experience, knowledge and competencies needed for career advancement. In 2025, about 72% of the Company's senior leader positions filled were internal placements and 587 frontline employees were promoted into management roles, the latter of which was consistent with last year.</w:t>
      </w:r>
    </w:p>
    <w:p>
      <w:pPr>
        <w:spacing w:after="0" w:line="126"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As stated above, a cornerstone of the Company's talent acquisition and internal talent mobility strategy is cultivating a culture that fosters a workplace in which all employees are safe, have an opportunity to succeed, feel a sense of belonging and are empowered to innovate and collaborate. The Company is committed to providing opportunities for advancement to help its employees reach their full potential and its policies strictly prohibit any form of employment discrimination.</w:t>
      </w:r>
    </w:p>
    <w:p>
      <w:pPr>
        <w:spacing w:after="0" w:line="126"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Succession planning provides the Company with the opportunity to evaluate its key successors. The Company's executives and senior leaders are engaged in succession planning by regularly evaluating, developing and mentoring its talent. The Board also engages in annual succession planning and talent development discussions with the Company's Chief Executive Officer, President and Executive Vice President of Human Resources, focusing on the Company's ability to attract, identify, prepare and retain talented employees for future leadership positions.</w:t>
      </w:r>
    </w:p>
    <w:p>
      <w:pPr>
        <w:spacing w:after="0" w:line="12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development of a Company culture that is centered on safety and promotes the importance of listening and responding to colleague feedback.</w:t>
      </w:r>
    </w:p>
    <w:p>
      <w:pPr>
        <w:spacing w:after="0" w:line="171" w:lineRule="exact"/>
        <w:rPr>
          <w:rFonts w:ascii="Times New Roman" w:cs="Times New Roman" w:eastAsia="Times New Roman" w:hAnsi="Times New Roman"/>
          <w:sz w:val="18"/>
          <w:szCs w:val="18"/>
          <w:color w:val="auto"/>
        </w:rPr>
      </w:pPr>
    </w:p>
    <w:p>
      <w:pPr>
        <w:ind w:left="66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above, safety is first in everything that the Company does and is its first Core4 service standard. The Company is focused on promoting its safety culture to help ensure that every employee across the Company holds each other to the highest safety standards and strives to protect themselves, their colleagues and the Company's customers.</w:t>
      </w:r>
    </w:p>
    <w:p>
      <w:pPr>
        <w:spacing w:after="0" w:line="121" w:lineRule="exact"/>
        <w:rPr>
          <w:rFonts w:ascii="Times New Roman" w:cs="Times New Roman" w:eastAsia="Times New Roman" w:hAnsi="Times New Roman"/>
          <w:sz w:val="18"/>
          <w:szCs w:val="18"/>
          <w:color w:val="auto"/>
        </w:rPr>
      </w:pPr>
    </w:p>
    <w:p>
      <w:pPr>
        <w:ind w:left="6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 strives to continue to be an employer of choice, the Company believes that it is critical that its workforce is encouraged to provide feedback and is informed as well as engaged. The Company utilizes multiple channels for all employees to ask for guidance, report concerns without fear of retaliation (including those related to safety) and provide constructive feedback and recommendations. The Company's executive team also provides several avenues of engagement to clearly inform its employees of company needs and goals. The Company routinely conducts employee engagement surveys of its global workforce, which provide feedback on employee satisfaction and cover a variety of topics such as company culture, safety and values, execution of its strategy and individual development, among others.</w:t>
      </w:r>
    </w:p>
    <w:p>
      <w:pPr>
        <w:spacing w:after="0" w:line="133"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The Company's managers discuss employee performance and leadership assessments regularly. In 2023, the Company reintroduced performance ratings and calibration to support career development and employee performance and leadership. The Company invests in rewarding employee performance and leadership and has established a multi-level recognition program to acknowledge the achievements of excellent individual or team performance and leadership.</w:t>
      </w:r>
    </w:p>
    <w:p>
      <w:pPr>
        <w:spacing w:after="0" w:line="12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Robust professional and leadership development training programs for all career stages.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The Company's industry and team are experiencing transformation and the Company has responded by becoming a learning organization, helping to guide its employees in their journey to reach their full potential. The Company continues to invest heavily in its leadership development-programs, which it believes will better position the Company to meet its current and future business needs while also creating a competitive advantage in accelerating talent, improving performance and mitigating risk.</w:t>
      </w:r>
    </w:p>
    <w:p>
      <w:pPr>
        <w:spacing w:after="0" w:line="126"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The Company offers a broad range of best-in-class leadership and professional training programs that provides its employees with opportunities for learning and skill-building. This starts with an introduction to the Company's culture when its employees start and progresses through new people leadership trainings as well as high potential development programs at the manager, senior manager, director and managing director levels. The Company provides all management-level employees with the opportunity to develop their skills through the Company's Leadership, Airport Operations and Digital Training Institutes. With respect to its technical positions, the Company has developed state-of-the-art technical training programs that include immersive training, virtual reality, simulations, on the job training and assessments of proficiency to ensure that it operates at the highest level of aviation safety and customer service.</w:t>
      </w:r>
    </w:p>
    <w:p>
      <w:pPr>
        <w:spacing w:after="0" w:line="13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ability for the Company's employees to qualify for retirement, health and wellness benefits as well as, of course, travel privileges.</w:t>
      </w:r>
    </w:p>
    <w:p>
      <w:pPr>
        <w:spacing w:after="0" w:line="171" w:lineRule="exact"/>
        <w:rPr>
          <w:rFonts w:ascii="Times New Roman" w:cs="Times New Roman" w:eastAsia="Times New Roman" w:hAnsi="Times New Roman"/>
          <w:sz w:val="18"/>
          <w:szCs w:val="18"/>
          <w:color w:val="auto"/>
        </w:rPr>
      </w:pPr>
    </w:p>
    <w:p>
      <w:pPr>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Company's rewards package for most of its employees is determined by collective bargaining agreements, it includes competitive base pay, travel privileges and other comprehensive benefits—including health, wellness and retirement programs—for all the Company's full- and part-time employees. The Company periodically implements enhancements and investments to its compensation and employee benefit programs to help ensure that they support the Company's and its employees' strategic imperatives. The Company also reviews both industry and local market data at least annually to identify trends and market gaps in order to maintain the competitiveness of its compensation and employee benefit programs and incorporate best practices. For instance, the Company conducts pay equity analyses annually.</w:t>
      </w:r>
    </w:p>
    <w:p>
      <w:pPr>
        <w:spacing w:after="0" w:line="133" w:lineRule="exact"/>
        <w:rPr>
          <w:rFonts w:ascii="Times New Roman" w:cs="Times New Roman" w:eastAsia="Times New Roman" w:hAnsi="Times New Roman"/>
          <w:sz w:val="18"/>
          <w:szCs w:val="18"/>
          <w:color w:val="auto"/>
        </w:rPr>
      </w:pPr>
    </w:p>
    <w:p>
      <w:pPr>
        <w:ind w:left="66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executives, a substantial portion of their total rewards package is variable, at-risk pay that is based on Company performance and delivered in the form of equity, supporting alignment over the long term between the Company's executives and stockholders. The Company aligns its executives' long-term equity compensation with its stockholders' interests by linking realizable pay with stock performance. In addition, the Company has performance-based compensation programs for other management employee leaders, including managers, supervisors and team leads.</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maintenance of the Company's relationships with its labor unions.</w:t>
      </w:r>
    </w:p>
    <w:p>
      <w:pPr>
        <w:spacing w:after="0" w:line="171" w:lineRule="exact"/>
        <w:rPr>
          <w:rFonts w:ascii="Times New Roman" w:cs="Times New Roman" w:eastAsia="Times New Roman" w:hAnsi="Times New Roman"/>
          <w:sz w:val="18"/>
          <w:szCs w:val="18"/>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bargains in good faith with the unions that represent its employees and frequently engages with union leaders at the national level and at local chapters throughout—and engages with applicable local unions, works councils and associations outside—the United States.</w:t>
      </w:r>
    </w:p>
    <w:p>
      <w:pPr>
        <w:spacing w:after="0" w:line="107" w:lineRule="exact"/>
        <w:rPr>
          <w:rFonts w:ascii="Times New Roman" w:cs="Times New Roman" w:eastAsia="Times New Roman" w:hAnsi="Times New Roman"/>
          <w:sz w:val="18"/>
          <w:szCs w:val="18"/>
          <w:color w:val="auto"/>
        </w:rPr>
      </w:pPr>
    </w:p>
    <w:p>
      <w:pPr>
        <w:jc w:val="both"/>
        <w:ind w:left="660" w:right="6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bargaining agreements between the Company and its represented employee groups are negotiated under the Railway Labor Act ("RLA"). Such agreements typically do not contain an expiration date and instead specify an amendable date, upon which the agreement is considered "open for amendment."</w:t>
      </w:r>
    </w:p>
    <w:p>
      <w:pPr>
        <w:spacing w:after="0" w:line="121" w:lineRule="exact"/>
        <w:rPr>
          <w:rFonts w:ascii="Times New Roman" w:cs="Times New Roman" w:eastAsia="Times New Roman" w:hAnsi="Times New Roman"/>
          <w:sz w:val="18"/>
          <w:szCs w:val="18"/>
          <w:color w:val="auto"/>
        </w:rPr>
      </w:pPr>
    </w:p>
    <w:p>
      <w:pPr>
        <w:ind w:left="660" w:right="2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reached a Tentative Agreement ("TA") with its employees represented by the AFA regarding an agreement that became amendable in August 2021. The TA included improvements with respect to scheduling, reserve requirements and other quality of life improvements, as well as pay rate increases during its five-year term. The TA also included a provision for a one-time payment to employees represented by the AFA upon ratification. On July 29, 2025, the Company's employees represented by the AFA voted against ratification of the TA. As of the date of this report, the Company and the AFA continue their negotiations for a revised TA.</w:t>
      </w:r>
    </w:p>
    <w:p>
      <w:pPr>
        <w:spacing w:after="0" w:line="129"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 table reflects the Company's represented employee groups, the number of employees per represented group, union representation for each employee group, and the amendable date for each employee group's collective bargaining agreement as of December 31, 2025. The Company is also in active negotiations with all of its union represented employees with amendable contracts.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6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06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8"/>
                <w:szCs w:val="18"/>
                <w:b w:val="1"/>
                <w:bCs w:val="1"/>
                <w:color w:val="auto"/>
              </w:rPr>
              <w:t>Union</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Agreement Open for</w:t>
            </w:r>
          </w:p>
        </w:tc>
        <w:tc>
          <w:tcPr>
            <w:tcW w:w="0" w:type="dxa"/>
            <w:vAlign w:val="bottom"/>
          </w:tcPr>
          <w:p>
            <w:pPr>
              <w:spacing w:after="0"/>
              <w:rPr>
                <w:sz w:val="1"/>
                <w:szCs w:val="1"/>
                <w:color w:val="auto"/>
              </w:rPr>
            </w:pPr>
          </w:p>
        </w:tc>
      </w:tr>
      <w:tr>
        <w:trPr>
          <w:trHeight w:val="243"/>
        </w:trPr>
        <w:tc>
          <w:tcPr>
            <w:tcW w:w="28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60" w:type="dxa"/>
            <w:vAlign w:val="bottom"/>
          </w:tcPr>
          <w:p>
            <w:pPr>
              <w:spacing w:after="0"/>
              <w:rPr>
                <w:sz w:val="21"/>
                <w:szCs w:val="21"/>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5060" w:type="dxa"/>
            <w:vAlign w:val="bottom"/>
            <w:gridSpan w:val="2"/>
            <w:vMerge w:val="continue"/>
          </w:tcPr>
          <w:p>
            <w:pPr>
              <w:spacing w:after="0"/>
              <w:rPr>
                <w:sz w:val="21"/>
                <w:szCs w:val="21"/>
                <w:color w:val="auto"/>
              </w:rPr>
            </w:pPr>
          </w:p>
        </w:tc>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0" w:type="dxa"/>
            <w:vAlign w:val="bottom"/>
          </w:tcPr>
          <w:p>
            <w:pPr>
              <w:spacing w:after="0"/>
              <w:rPr>
                <w:sz w:val="1"/>
                <w:szCs w:val="1"/>
                <w:color w:val="auto"/>
              </w:rPr>
            </w:pPr>
          </w:p>
        </w:tc>
      </w:tr>
      <w:tr>
        <w:trPr>
          <w:trHeight w:val="480"/>
        </w:trPr>
        <w:tc>
          <w:tcPr>
            <w:tcW w:w="2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Airlines, Inc.:</w:t>
            </w:r>
          </w:p>
        </w:tc>
        <w:tc>
          <w:tcPr>
            <w:tcW w:w="16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96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Flight Attendants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28,220</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Association of Flight Attendants ("AFA")</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Fleet Service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International Association of Machinists and Aerospace Workers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vMerge w:val="continue"/>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200" w:type="dxa"/>
            <w:vAlign w:val="bottom"/>
          </w:tcPr>
          <w:p>
            <w:pPr>
              <w:spacing w:after="0"/>
              <w:rPr>
                <w:sz w:val="21"/>
                <w:szCs w:val="21"/>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Pilots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 Line Pilots Association ("ALPA")</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2027</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Passenger Service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0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Technicians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Brotherhood of Teamsters (the "IBT")</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Storekeepers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Dispatchers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Airline Flight Control Association</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Fleet Tech Instructors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Technical Operations Maintenance</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Planners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CEEFF"/>
          </w:tcPr>
          <w:p>
            <w:pPr>
              <w:spacing w:after="0"/>
              <w:rPr>
                <w:sz w:val="21"/>
                <w:szCs w:val="21"/>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IBT</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2028</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Technical Operations Maintenance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Controllers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1"/>
                <w:szCs w:val="21"/>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IBT</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2026</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Load Planners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Maintenance Instructors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Security Officers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500"/>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Ground Express, Inc.:</w:t>
            </w:r>
          </w:p>
        </w:tc>
        <w:tc>
          <w:tcPr>
            <w:tcW w:w="1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Passenger Service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Board Oversight</w:t>
      </w:r>
      <w:r>
        <w:rPr>
          <w:rFonts w:ascii="Times New Roman" w:cs="Times New Roman" w:eastAsia="Times New Roman" w:hAnsi="Times New Roman"/>
          <w:sz w:val="18"/>
          <w:szCs w:val="18"/>
          <w:color w:val="auto"/>
        </w:rPr>
        <w:t>: The Company's Board, assisted by several of its committees, plays a key role in the strategic oversight of management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implementation and effectiveness of the Company's policies and strategies relating to human capital management. The Board's Executive Committee oversees and reviews significant human capital strategies, including culture and talent management matters, and the Board's Public Responsibility Committee reviews and monitors the development and implementation of the Company's people impact strategic goals and objectives. Many of the Company's Board members have experience overseeing workforce issues as CEOs and presidents of other companies or organizations. The Compensation Committee also engages an independent compensation and benefits consulting firm to help evaluate the Company's executive compensation and benefit programs and to provide benchmarking against a group of peer companies, including peers within the airline industry.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Regulation</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Airlines are subject to extensive domestic and international regulatory oversight. The following discussion summarizes the principal elements of the regulatory framework applicable to our business. Regulatory requirements, including but not limited to those discussed below, affect our operations and increase our operating costs, and future regulatory developments may continue to do the same. In addition, should any of our governmental authorizations or certificates be modified, suspended or revoked, our business and competitive position could be materially adversely affected. See Part I, Item 1A. Risk Factors—</w:t>
      </w:r>
      <w:r>
        <w:rPr>
          <w:rFonts w:ascii="Times New Roman" w:cs="Times New Roman" w:eastAsia="Times New Roman" w:hAnsi="Times New Roman"/>
          <w:sz w:val="18"/>
          <w:szCs w:val="18"/>
          <w:i w:val="1"/>
          <w:iCs w:val="1"/>
          <w:color w:val="auto"/>
        </w:rPr>
        <w:t>"The airline industry is subject to extensive government regulation, which imposes significant costs and may adversely impact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results and financial condition</w:t>
      </w:r>
      <w:r>
        <w:rPr>
          <w:rFonts w:ascii="Times New Roman" w:cs="Times New Roman" w:eastAsia="Times New Roman" w:hAnsi="Times New Roman"/>
          <w:sz w:val="18"/>
          <w:szCs w:val="18"/>
          <w:color w:val="auto"/>
        </w:rPr>
        <w:t>" for additional information on the material effects of compliance with government regulations.</w:t>
      </w:r>
    </w:p>
    <w:p>
      <w:pPr>
        <w:spacing w:after="0" w:line="12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Domestic Regulation. </w:t>
      </w:r>
      <w:r>
        <w:rPr>
          <w:rFonts w:ascii="Times New Roman" w:cs="Times New Roman" w:eastAsia="Times New Roman" w:hAnsi="Times New Roman"/>
          <w:sz w:val="18"/>
          <w:szCs w:val="18"/>
          <w:color w:val="auto"/>
        </w:rPr>
        <w:t>All carriers engaged in air transportation in the United States are subject to regulation by the DOT. Absent an exemption, no 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carrier may provide air transportation of passengers or property without first being issued a DOT certificate of public convenience and necessity. The DOT also grants international route authority, approves international codeshare arrangements and regulates methods of competition. The DOT regulates consumer protection and maintains jurisdiction over advertising, denied boarding compensation, tarmac delays, baggage liability and other areas and may add additional expensive regulatory burdens in the future. The DOT has launched investigations or claimed rulemaking authority to regulate commercial agreements among carriers or between carriers and third parties in a wide variety of contexts.</w:t>
      </w:r>
    </w:p>
    <w:p>
      <w:pPr>
        <w:spacing w:after="0" w:line="1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Airlines are also regulated by the Federal Aviation Administration (the "FAA"), an agency within the DOT, primarily in the areas of flight safety, air carrier operations and aircraft maintenance and airworthiness. The FAA issues air carrier operating certificates and aircraft airworthiness certificates, prescribes maintenance procedures, oversees airport operations and regulates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pilot and other employee training. From time to time, the FAA issues directives that require air carriers to inspect, modify or ground aircraft and other equipment, potentially causing the Company to incur substantial, unplanned expenses. The airline industry is also subject to numerous other federal laws and regulations. The U.S. Department of Homeland Security ("DHS") has jurisdiction over virtually every aspect of civil aviation security. The Antitrust Division of the U.S. Department of Justice ("DOJ") has jurisdiction over certain airline competition matters. The U.S. Postal Service has authority over certain aspects of the transportation of mail by airlines. Labor relations in the airline industry are generally governed by the RLA, a federal statute. The Company is also subject to investigation inquiries by the DOT, FAA, DOJ, DHS, the U.S. Food and Drug Administration, the U.S. Department of Agriculture, Centers for Disease Control and Prevention, the Occupational Safety and Health Administration and other U.S. regulatory bodies.</w:t>
      </w:r>
    </w:p>
    <w:p>
      <w:pPr>
        <w:spacing w:after="0" w:line="1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Airport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landing and take-off rights, or "slots," at several major U.S. airports served by the Company are subject to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Federally-mandated domestic slot restrictions that limit operations and regulate capacity currently apply at three airports: Reagan National Airport in Washington, D.C., and John F. Kennedy International Airport and LaGuardia Airport in the New York City metropolitan region. Additional restrictions on takeoff and landing slots at these and other airports may be implemented in the future and could affect the Company's rights of ownership and transfer as well as its operations.</w:t>
      </w:r>
    </w:p>
    <w:p>
      <w:pPr>
        <w:spacing w:after="0" w:line="1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Legislation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airline industry is subject to legislative actions (or inactions) that may have an impact on operations and costs. In May 2024,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Congress approved the FAA Reauthorization Act of 2024, expiring September 30, 2028. Among other things, the FAA reauthorization increased the authorized funding level for the FAA and required the hiring of additional air traffic controllers, an effort to address staffing and resource shortages and improve the operation of the ATC system in the U.S.</w:t>
      </w:r>
    </w:p>
    <w:p>
      <w:pPr>
        <w:spacing w:after="0" w:line="12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Regulation. </w:t>
      </w:r>
      <w:r>
        <w:rPr>
          <w:rFonts w:ascii="Times New Roman" w:cs="Times New Roman" w:eastAsia="Times New Roman" w:hAnsi="Times New Roman"/>
          <w:sz w:val="18"/>
          <w:szCs w:val="18"/>
          <w:color w:val="auto"/>
        </w:rPr>
        <w:t>International air transportation is subject to extensive government regulation. In connection with the Company's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the Company is regulated by both the U.S. government and the governments of the foreign countries or regions the Company serves. In addition, the availability of international routes to U.S. carriers is regulated by aviation agreements between the U.S. and foreign governments and in some cases, fares and schedules require the approval of the DOT and/or the relevant foreign governments.</w:t>
      </w:r>
    </w:p>
    <w:p>
      <w:pPr>
        <w:spacing w:after="0" w:line="1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Legislation.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countries are increasingly enacting passenger protection laws, rules and regulations that meet or exceed U.S. requirements. In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this activity exceeds U.S. requirements, additional burden and liability may be placed on the Company. Certain countries have regulations requiring passenger compensation from the Company and/or enforcement penalties in addition to changes in operating procedures due to overbooked, canceled or delayed flights.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Airport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access to foreign routes has been tightly controlled through bilateral agreements between the U.S. and each foreign jurisdiction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involved. These agreements regulate the routes served, the number of carriers allowed to serve each route and the frequency of carriers' flights. Since the early 1990s, the U.S. has pursued a policy of "Open Skies" (meaning all U.S. and foreign carriers have access to the destination) under which the U.S. government has negotiated a number of bilateral agreements allowing unrestricted access between U.S. and foreign points. Currently, there are more than 100 Open Skies agreements in effect. However, even with Open Skies, many of the airports that the Company serves in Asia, Africa, the Middle East, the Pacific, Europe, and Latin America maintain slot controls. A large number of these slot controls exist due to congestion, environmental and noise protection and reduced capacity due to runway and ATC construction work, among other reasons.</w:t>
      </w:r>
    </w:p>
    <w:p>
      <w:pPr>
        <w:spacing w:after="0" w:line="12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Regulation. </w:t>
      </w:r>
      <w:r>
        <w:rPr>
          <w:rFonts w:ascii="Times New Roman" w:cs="Times New Roman" w:eastAsia="Times New Roman" w:hAnsi="Times New Roman"/>
          <w:sz w:val="18"/>
          <w:szCs w:val="18"/>
          <w:color w:val="auto"/>
        </w:rPr>
        <w:t>The airline industry is subject to stringent federal, state, local and international environmental regulations, including those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regulating emissions to air, water discharges, safe drinking water and the use and management of hazardous substances and wastes. The Company endeavors to comply with all applicable environmental regulations.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Climate Change and Sustainability.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outlined above, the Company's commitment to becoming a more environmentally sustainable company extends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seeking to comply with regulatory requirements. At the same time, efforts to reduce carbon emissions through environmental sustainability legislation and regulation, or non-binding standards or accords, is an increased focus of global, national and regional regulators. The International Civil Aviation Organization's ("ICAO") Carbon Offsetting and Reduction Scheme for International Aviation ("CORSIA"), adopted in October 2016, is intended to be a single global market-based measure to achieve carbon-neutral growth for international aviation, by requiring airlines to purchase eligible carbon offsets for emissions through the 2024-2035 compliance periods. CORSIA also allows airlines to lower their carbon offsetting obligations through the use of eligible sustainable fuels. Offsetting requirements for a given year are determined by multiplying the operator's annual CO2 emissions by a sectoral growth factor established by the ICAO. In October 2025, the ICAO issued the 2024 annual sectoral growth factor, which was greater than zero for the first time. United's anticipated CORSIA compliance costs for the first phase, 2024-2026, for which compliance is intended to be demonstrated by 2028, may be substantial. The exact mechanism by which CORSIA will be implemented domestically is currently unknown as the federal government has not enacted legislation or regulations to implement the first phase of CORSIA.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Other jurisdictions are proposing or enacting regulations to limit GHG emissions from aviation. A policy to regulate GHG emissions from aviation known as the European Union ("EU") Emission Trading System ("ETS") was adopted in 2009, but applicability to flights arriving at or departing from airports outside the EU has been postponed several times, most recently until 2027. The extension of the EU ETS to extra-EU flights could still occur in future years, depending on the EU government's assessment of the effectiveness of CORSIA. Domestically, in December 2020, the U.S. Environmental Protection Agency ("EPA") adopted its own aircraft and aircraft engine GHG emissions standards, which are aligned with the 2017 ICAO airplane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 standards. In February 2024, the same standards were finalized by the FAA, mandating improved fuel-efficient technologies for airplanes manufactured after January 1, 2028.</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believes that policies that incentivize the production of SAF, such as the passage of tax credit incentives for the production of SAF, will enable the Company to decarbonize its operations more cost efficiently than a patchwork of regulatory requirements on aviation, particularly those that require airlines to reduce flights or impose the cost of transitioning to low-carbon alternatives disproportionately on airlines. The Company lauded the adoption of incentives for SAF that were implemented at both the federal level and in several states and will continue to work with policymakers to adopt policies that incentivize the production of SAF to allow the industry to transition to a lower carbon future. In addition, while the Company continues to plan on meeting its mid-term and long-term climate goals without relying on voluntary, traditional carbon offsets, the Company may be subject to future regulatory requirements that require the purchase of non-voluntary, traditional carbon offsets, which may expose the Company to additional costs associated with the procurement of offsets or limited supply in the carbon offsets market. The Company believes that policies that promote in-sector emissions reductions, rather than carbon offset purchases, will better support the industry's transition to a lower carbon future.</w:t>
      </w:r>
    </w:p>
    <w:p>
      <w:pPr>
        <w:spacing w:after="0" w:line="1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At the state level, the regulatory approach taken so far has largely been focused on incentivizing the production and use of SAF. Various states, including California, have developed low carbon fuel standards that incentivize the use of SAF, while others, including Illinois, have adopted SAF-specific tax credits.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Globally, in the past several years, there has been a proliferation of SAF mandates requiring suppliers to blend a certain percentage of SAF into the jet fuel supply. In 2025, two significant SAF mandate policies went into effect: ReFuelEU and the UK's Renewable Transport Fuel Obligations (Sustainable Aviation Fuel) Order, both of which require aviation fuel suppliers to supply a minimum of 2% SAF into their jet fuel supply starting in 2025 and increasing in subsequent years. Outside of SAF uplift reporting obligations under ReFuelEU, these mandates do not impose compliance obligations on the Company but have led to significantly higher fuel prices across the EU and UK. Other countries are planning to implement similar policies. Costs from the proliferation of SAF mandates globally are expected to increase as the various mandated SAF blend targets increase each year and additional similar policies are adopted.</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Other regulations are also emerging globally that would require companies such as United to increasingly measure, disclose and mitigate environmental sustainability risks both within their operations and their supply chains, such as the EU's Corporate Sustainability Due Diligence Directive and Corporate Sustainability Reporting Directive. At the state level, in October 2023, California enacted legislation that requires certain companies that do business in California to disclose certain climate-related information. These laws are currently subject to ongoing legal challenges and it is unclear how the legal challenges will impact the timeline for compliance with the California climate disclosure requirements.</w:t>
      </w:r>
    </w:p>
    <w:p>
      <w:pPr>
        <w:spacing w:after="0" w:line="1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Other Regulations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are subject to a variety of other environmental laws and regulations both in the United States and internationally.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noise-related restrictions on aircraft types and operating times and state and local air quality initiatives which have resulted in, or could in the future result in, curtailments in services, increased operating costs, limits on expansion or further emission reduction requirements. Certain airports and/or governments, both domestically and internationally, either have established or are seeking to establish environmental fees and other requirements applicable to carbon emissions, local air quality pollutants and/or noise and the use of products and material such as single-use plastics. The implementation of these requirements is expected to result in increased operational costs to develop compliance programs and strategies.</w:t>
      </w:r>
    </w:p>
    <w:p>
      <w:pPr>
        <w:spacing w:after="0" w:line="13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Governmental authorities in the U.S. and abroad have passed legislation restricting the use of per- and polyfluoroalkyl substances ("PFAS") which have been used in manufacturing, industrial, and consumer applications, including those related to aviation. Certain state governments and local municipalities have adopted legislation prohibiting the use of Class B firefighting foam agents that contain intentionally added PFAS. As a result, the Company continues to incur costs to convert existing fixed foam fire suppression systems to accommodate PFAS-free firefighting foam agents. In addition, the EPA has developed the PFAS Strategic Roadmap, which includes regulatory actions across a wide spectrum of its statutory authorities, including the Comprehensive Environmental Response, Compensation, and Liability Act ("CERCLA"), the Resource Conservation and Recovery Act, the Clean Water Act, the Toxic Substances Control Act and the Safe Drinking Water Act. The Company expects these broad regulatory policies, in addition to lease obligations, will increase the risk of incurring remediation costs and/or liabilities at current and former locations at which the Company currently or historically used fire-fighting foam agents or other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materials containing PFOA, PFOS or other PFAS substances. To mitigate these risks, the Company is working to remove PFAS-containing fire-fighting foam from its hangars and other assets through a phased retrofit/replacement strategy and is committed to transitioning to PFAS-free materials for fire suppression. Finally, environmental cleanup laws and lease obligations could require the Company to undertake (or subject the Company to liability for costs associated with) investigation and remediation actions at certain owned or leased locations or third-party disposal locations. Future costs to comply with such regulations will remain uncertain but are likely to increase our operating costs over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the Company's executive officers as of the date hereof, including their name, office(s) held and age.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Torbjorn (Toby) J. Enqvist</w:t>
            </w:r>
          </w:p>
        </w:tc>
        <w:tc>
          <w:tcPr>
            <w:tcW w:w="240" w:type="dxa"/>
            <w:vAlign w:val="bottom"/>
            <w:tcBorders>
              <w:top w:val="single" w:sz="8" w:color="CCEEFF"/>
            </w:tcBorders>
            <w:shd w:val="clear" w:color="auto" w:fill="CCEEFF"/>
          </w:tcPr>
          <w:p>
            <w:pPr>
              <w:spacing w:after="0"/>
              <w:rPr>
                <w:sz w:val="19"/>
                <w:szCs w:val="19"/>
                <w:color w:val="auto"/>
              </w:rPr>
            </w:pPr>
          </w:p>
        </w:tc>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Operations Officer</w:t>
            </w:r>
          </w:p>
        </w:tc>
        <w:tc>
          <w:tcPr>
            <w:tcW w:w="2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Gebo</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Human Resources and Labor Relations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J. Hart</w:t>
            </w:r>
          </w:p>
        </w:tc>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Scott Kirby</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Nocella</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Commercial Officer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Set forth below is a description of the background of each of the Company's executive officers. Executive officers are elected by UAL's Board for an initial term that continues until the first Board meeting following the next Annual Meeting of Stockholders and thereafter, are elected for a one-year term or until their successors have been chosen, or until their earlier death, resignation or removal. Executive officers serve at the discretion of the Board. Unless otherwise stated, employment is by UAL and United. There are no family relationships between any executive officer or director of UAL.</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Torbjorn (Toby) J. Enqvist. </w:t>
      </w:r>
      <w:r>
        <w:rPr>
          <w:rFonts w:ascii="Times New Roman" w:cs="Times New Roman" w:eastAsia="Times New Roman" w:hAnsi="Times New Roman"/>
          <w:sz w:val="18"/>
          <w:szCs w:val="18"/>
          <w:color w:val="auto"/>
        </w:rPr>
        <w:t>Mr. Enqvist has served as Executive Vice President and Chief Operations Officer of UAL and United since July 2022.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2021 to July 2022, he served as Executive Vice President and Chief Customer Officer of UAL and United. From August 2018 to May 2021, he served as Senior Vice President and Chief Customer Officer of UAL and United. From December 2017 to August 2018, he served as Senior Vice President of Network Operations and Customer Solutions of UAL and United. From July 2017 to December 2017, he served as Senior Vice President of Customer Solutions and Recovery of UAL and United. From December 2015 to June 2017, he served as Vice President Hubs Domestic &amp; International Line Stations. From January 2014 to November 2015, he served as Vice President Project Quality. From November 2011 to December 2013, he served as Vice President Newark Hub. From January 2010 to October 2011, he served as Vice President Security &amp; Environment Affairs. Mr. Enqvist joined Continental Airlines, Inc. ("Continental") in 1996.</w:t>
      </w:r>
    </w:p>
    <w:p>
      <w:pPr>
        <w:spacing w:after="0" w:line="1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Kate Gebo. </w:t>
      </w:r>
      <w:r>
        <w:rPr>
          <w:rFonts w:ascii="Times New Roman" w:cs="Times New Roman" w:eastAsia="Times New Roman" w:hAnsi="Times New Roman"/>
          <w:sz w:val="18"/>
          <w:szCs w:val="18"/>
          <w:color w:val="auto"/>
        </w:rPr>
        <w:t>Ms. Gebo has served as Executive Vice President Human Resources and Labor Relations of UAL and United since December 2017.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2016 to November 2017, Ms. Gebo served as Senior Vice President, Global Customer Service Delivery and Chief Customer Officer of United. From October 2015 to November 2016, Ms. Gebo served as Vice President of the Office of the Chief Executive Officer of United. From November 2009 to October 2015, Ms. Gebo served as Vice President of Corporate Real Estate of United.</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Brett J. Hart. </w:t>
      </w:r>
      <w:r>
        <w:rPr>
          <w:rFonts w:ascii="Times New Roman" w:cs="Times New Roman" w:eastAsia="Times New Roman" w:hAnsi="Times New Roman"/>
          <w:sz w:val="18"/>
          <w:szCs w:val="18"/>
          <w:color w:val="auto"/>
        </w:rPr>
        <w:t>Mr. Hart has served as President of UAL and United since May 2020. From March 2019 to May 2020, he served as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Administrative Officer of UAL and United. From May 2017 to March 2019, he served as Executive Vice President, Chief Administrative Officer and General Counsel of UAL and United. From February 2012 to May 2017, he served as Executive Vice President and General Counsel of UAL and United. Mr. Hart served as acting Chief Executive Officer and principal executive officer of the Company, on an interim basis,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 a consumer food and beverage company. From March 2005 to May 2009, Mr. Hart served as Deputy General Counsel and Chief Global Compliance Officer of Sara Lee Corporation.</w:t>
      </w:r>
    </w:p>
    <w:p>
      <w:pPr>
        <w:spacing w:after="0" w:line="13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 Scott Kirby. </w:t>
      </w:r>
      <w:r>
        <w:rPr>
          <w:rFonts w:ascii="Times New Roman" w:cs="Times New Roman" w:eastAsia="Times New Roman" w:hAnsi="Times New Roman"/>
          <w:sz w:val="18"/>
          <w:szCs w:val="18"/>
          <w:color w:val="auto"/>
        </w:rPr>
        <w:t>Mr. Kirby has served as Chief Executive Officer of UAL and United since May 2020. Mr. Kirby served as President of UAL and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August 2016 to May 2020. Prior to joining the Company, from December 2013 to August 2016, Mr. Kirby served as President of American Airlines Group and American Airlines, Inc. Mr. Kirby also previously served as President of US Airways from October 2006 to December 2013. Mr. Kirby held other significant leadership roles at US Airways and at America West prior to the 2005 merger of those carriers, including Executive Vice President—Sales and Marketing (2001 to 2006); Senior Vice President, e-business (2000 to 2001); Vice President, Revenue Management (1998 to 2000); Vice President, Planning (1997 to 1998); and Senior Director, Scheduling and Planning (1995 to 1998). Prior to joining America West, Mr. Kirby worked for American Airlines Decision Technologies and at the Pentagon.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Michael Leskinen. </w:t>
      </w:r>
      <w:r>
        <w:rPr>
          <w:rFonts w:ascii="Times New Roman" w:cs="Times New Roman" w:eastAsia="Times New Roman" w:hAnsi="Times New Roman"/>
          <w:sz w:val="18"/>
          <w:szCs w:val="18"/>
          <w:color w:val="auto"/>
        </w:rPr>
        <w:t>Mr. Leskinen has served as Executive Vice President and Chief Financial Officer of UAL and United since September 2023.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Leskinen served as Vice President of Corporate Development and Investor Relations of United from April 2019 to September 2023. In 2021, he added the title of President of UAV, an industry-first corporate venture capital fund that identifies and invests in opportunities to decarbonize air travel and enhance the customer travel experience. From January 2018 to April 2019, Mr. Leskinen served as Managing Director of Investor Relations of UAL and United. Prior to joining United, Mr. Leskinen was an executive director at J.P. Morgan Asset Management from 2013 to 2017, where he led the firm's investment efforts in aerospace, defense, and airlines. From 2009 to 2013, he worked at Oppenheimer Funds focused on the aerospace sector.</w:t>
      </w:r>
    </w:p>
    <w:p>
      <w:pPr>
        <w:spacing w:after="0" w:line="1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Andrew Nocella. </w:t>
      </w:r>
      <w:r>
        <w:rPr>
          <w:rFonts w:ascii="Times New Roman" w:cs="Times New Roman" w:eastAsia="Times New Roman" w:hAnsi="Times New Roman"/>
          <w:sz w:val="18"/>
          <w:szCs w:val="18"/>
          <w:color w:val="auto"/>
        </w:rPr>
        <w:t>Mr. Nocella has served as Executive Vice President and Chief Commercial Officer of UAL and United since September 2017.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2017 to September 2017, he served as Executive Vice President and Chief Revenue Officer of UAL and United. Prior to joining the Company, from August 2016 to February 2017, Mr. Nocella served as Senior Vice President, Alliances and Sales of American Airlines, Inc. From December 2013 to August 2016, he served as Senior Vice President and Chief Marketing Officer of American Airlines, Inc. From August 2007 to December 2013, he served as Senior Vice President, Marketing and Planning of US Airways.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80"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Any of the risks and uncertainties described below could significantly and negatively affect our business operations, financial condition, operating results (including components of our financial results), cash flows, prospects, reputation or credit ratings, which could cause the trading price of our common stock to decline significantly. Additional risks and uncertainties that are not presently known to us, or risks that we currently consider immaterial, could also impair our business operations, financial condition, operating results, cash flows, prospects, reputation or credit ratings.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and Business Development Risks</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executing elements of our strategic operating plan, which may have a material adverse impact on our business, financial results and market capitalization.</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United Next, the Company's strategic operating plan, includes firm orders of over 630 narrow- and widebody aircraft, retrofitting plans and plans to continue to increase mainline daily departures and available seats across the Company's North American network. In developing our United Next plan, we made certain assumptions including, but not limited to, customer demand (in light of changing economic conditions), fuel costs, delivery of aircraft, aircraft certification approval timelines, labor market constraints and related costs, supply chain constraints, inflationary pressures, voluntary or mandatory groundings of aircraft, our regional network, competition, market consolidation and other macroeconomic and geopolitical factors. We also subsequently adjusted certain of our assumptions as a result of the increase in costs due to infrastructure improvements, new labor contracts and aircraft maintenance that were needed to support our United Next plan as well as delays in aircraft deliveries. Actual conditions may be different from our assumptions at any time and could cause us to further adjust our strategic operating plan. In addition, we cannot provide any assurance that we will be able to successfully execute our strategic plan, that the growth we anticipate will occur through execution of our strategic plan will not exacerbate any other risk described in this Form 10-K (especially relating to fuel costs, the impact of economic pressures or geopolitical events, our supply chain or our ability to recruit, hire, develop and retain talent), that our strategic plan will not result in additional unanticipated costs, that our suppliers will timely provide adequate products or support for our products (including but not limited to certification and delivery of aircraft, engines and other aircraft parts) or that our strategic plan will result in improvements in future financial performance. If we do not successfully execute our United Next or other strategic plans, if actual results vary significantly from our expectations or if we otherwise fail to successfully structure our business to meet market conditions, our business, operating results, financial condition and market capitalization could be materially and adversely impacted.</w:t>
      </w:r>
    </w:p>
    <w:p>
      <w:pPr>
        <w:spacing w:after="0" w:line="13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242424"/>
        </w:rPr>
        <w:t>Changes in the Company's network strategy over time or other factors outside of the Company's control may make aircraft on order less economical for the Company, result in costs related to modification or termination of aircraft orders or cause the Company to enter into orders for new aircraft on less favorable terms, and any inability to accept or integrate new aircraft into the Company's fleet as planned could increase costs or affect the Company's flight schedules.</w:t>
      </w:r>
    </w:p>
    <w:p>
      <w:pPr>
        <w:spacing w:after="0" w:line="12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orders for new aircraft are typically made years in advance of actual delivery of such aircraft and the financial commitment required for purchases of new aircraft is substantial. As a result of our network strategy changing or our demand expectations not being realized, our preference for the aircraft that we previously ordered may decrease; however, we may be responsible for material liabilities to our counterparties if we attempt to modify or terminate any of our existing aircraft order commitments and as a result our financial condition could be adversely impacted. These risks are heightened as a result of the Company's sizeable United Next aircraft orders. Additionally, the Company may have a need for additional aircraft that are not available under its existing firm orders or options and may seek to acquire aircraft from other sources, such as through lease arrangements, which may result in higher costs and/or less favorable terms, or through the purchase or lease of used aircraft. The Company may not be able to acquire such aircraft when needed on favorable terms or at all.</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Furthermore, if, for any reason, the Company is unable or does not want to accept deliveries of new aircraft or integrate such new aircraft into its fleet as planned, the Company may face higher financing and operating costs than planned or litigation risks, and may be required to seek extensions of the terms for certain leased aircraft or otherwise delay the exit of other aircraft from its fleet. Unanticipated extensions or delays may require the Company to operate existing aircraft beyond the point at which it is economically optimal to retire them, resulting in increased maintenance costs, or potentially requiring the Company to reduce its schedule, thereby reducing revenues.</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imposition of new tariffs, any increase in existing tariffs, and retaliatory tariffs implemented by other countries where United operates, on the importation of commercial aircraft, engines or commercial aircraft parts that the Company orders may result in higher costs. In addition, to the extent our key aircraft, engine or aircraft parts suppliers are affected by tariffs and seek to pass those costs onto us, our costs of acquiring new aircraft, engine or aircraft parts could increase.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manage acquisitions, divestitures, investments, joint ventures and other portfolio actions could adversely impact our operating results. In addition, any businesses or assets that we acquire in the future increase our exposure to unknown liabilities or other issues and also may underperform as compared to expectations.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An important part of the Company's strategy to expand its global network and operate an environmentally sustainable, responsible and innovative airline has included making significant investments, both domestically and in other parts of the world, in other airlines and other aviation industry participants, producers of SAF, manufacturers of electric, hybrid and other new generation aircraft, and startups developing technologies in aerospace, next-generation air traffic control and aviation infrastructure, energy transition and AI-driven travel innovation. The Company plans to continue to make additional investments, including through its corporate venture capital arm, UAV, and through the Fund. However, since there are a limited number of potential arrangements, and other airlines and industry participants seek to enter into similar relationships, this may make it difficult for the Company to complete strategic investments on commercially reasonable terms or at all.</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investments are inherently risky and may not be successful in meeting the Company's expectations. Future revenues, profits and cash flows of these and future investments and repayment of invested or loaned funds may not materialize due to safety concerns, regulatory issues, supply chain constraints or other factors beyond our control. Where we acquire debt or equity securities as all or part of the consideration for business development activities, such as in connection with a joint venture, the value of those securities will fluctuate and may depreciate in value. We may not control the companies in which we make investments and, as a result, we will have limited ability to determine their management, operational decisions, internal controls and compliance and other policies, which can result in additional financial and reputational risks. Further, acquisitions and investments create exposure to assumed litigation and unknown liabilities, as well as undetected internal control, regulatory compliance or other issues, or additional costs not anticipated at the time the transaction was completed, and our due diligence efforts may not identify such liabilities or issues, or they may not be fully disclosed to us.</w:t>
      </w:r>
    </w:p>
    <w:p>
      <w:pPr>
        <w:spacing w:after="0" w:line="13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we also divest assets. We may not be successful in separating any such assets, and losses on the divestiture of, or lost operating income from, such assets may adversely affect our earnings. Any divestitures also may result in continued financial exposure to the divested businesses following the transaction, such as through guarantees or other financial arrangements or potential litigation.</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have incurred, and may again in the future incur, asset impairment charges related to acquisitions, divestitures, investments or joint ventures that have the effect of reducing our earnings. Moreover, new or revised accounting standards, rules and interpretations could result in changes to the recognition of income and expense that may materially and adversely affect our financial results.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the execution or implementation of acquisitions, divestitures, investments, joint ventures and other portfolio actions is not successful, it could adversely impact our financial condition, cash flows and results of operations. In addition, due to the Company's substantial amount of debt, there are certain limitations on the Company's business development capacity. Further, pursuing these opportunities may require us to obtain additional equity or debt financing and could result in increased leverage and/or a downgrade of our credit ratings.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Operational and Industry Risks</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could experience adverse publicity, increased regulatory scrutiny, harm to its brand, reduced travel demand, potential tort liability and operational restrictions as a result of an accident, catastrophe or incident involving its aircraft or its operations or the aircraft or operations of another airline, which may result in a material adverse effect on the Company's business, operating results or financial condition.</w:t>
      </w:r>
    </w:p>
    <w:p>
      <w:pPr>
        <w:spacing w:after="0" w:line="12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An accident, catastrophe or incident involving an aircraft that the Company operates, or an aircraft or aircraft type that is operated by another airline, or an incident involving the Company's operations, or the operations of another airline, could have a material adverse effect on the Company if such accident, catastrophe or incident creates a public perception that the Company's operations, or the operations of its codeshare partners or regional carriers, are not safe or reliable, or are less safe or reliable than other airlines. Further, any such accident, catastrophe or incident involving the Company, its regional carriers or its codeshare partners could expose the Company to increased regulatory scrutiny and significant liability. For example, in 2024 the FAA conducted a review of the Company's safety and compliance oversight of its operations, though the FAA found no significant safety or compliance issues.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Although the Company maintains liability insurance in amounts and of the type the Company believes to be consistent with industry practice to cover damages arising from any such accident, catastrophe or incident, and the Company's codeshare partners and regional carriers carry similar insurance and generally indemnify the Company for their operations, if the Company's liability exceeds the applicable policy limits or the ability of another carrier to indemnify it, the Company could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incur substantial losses from an accident, catastrophe or incident, which may result in a material adverse effect on the Company's business, operating results or financial condition.</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any such accident, catastrophe or incident involving the Company, its regional carriers or its codeshare partners could result in operational restrictions on the Company, including voluntary or mandatory groundings of aircraft. Voluntary or involuntary groundings have also impacted, and could in the future impact, the Company's financial results and operations in numerous ways, including reduced revenue, redistributions of other aircraft and deferrals of capital expenditure and other spending. A prolonged period of time operating a reduced fleet in circumstances such as these could result in a material adverse effect on the Company's business, operating results or financial condition.</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airline industry is highly competitive and susceptible to price discounting and changes in capacity, which could have a material adverse effect on our business, operating results and financial condition.</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airline industry is highly competitive, marked by significant competition with respect to routes, fares, schedules (both timing and frequency), services, products, customer service and frequent flyer programs. Consolidation in the airline industry, the rise of well-funded government sponsored international carriers, changes in international alliances, swaps of slots and the creation of immunized JBAs have altered and are expected to continue to alter the competitive landscape in the industry, resulting in the formation of airlines and alliances with increased financial resources, more extensive global networks and services and competitive cost structures. Open Skies agreements, including the agreements between the United States and each of the EU, Canada, Japan, Korea, New Zealand, Australia, Colombia, Panama, Mexico, Brazil and the UK, may also give rise to better integration opportunities among international carriers. Movement of airlines between current global airline alliances could reduce joint network coverage for members of such alliances while also creating opportunities for JBAs and bilateral alliances that did not exist before such realignment. Further airline and airline alliance consolidations or reorganizations could occur in the future, and other airlines participating in such activities may significantly improve their cost structures or revenue generation capabilities, thereby potentially making them stronger competitors of the Company and impairing the Company's ability to realize expected benefits from its own strategic relationships.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Airlines also compete by increasing or decreasing their capacity, including route systems and the number of destinations served. Several of the Company's domestic and international competitors have increased their international capacity by including service to some destinations that the Company currently serves, causing overlap in destinations served and, therefore, increasing competition for those destinations. This increased competition in both domestic and international markets may have a material adverse effect on the Company's business, operating results and financial condition.</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U.S. operations are subject to competition from traditional network carriers, national point-to-point carriers and discount carriers, including low-cost carriers and ultra-low-cost carriers, that may have lower costs and provide service at lower fares to destinations also served by the Company. The significant presence of low-cost carriers and ultra-low-cost carriers, which engage in substantial price discounting, may diminish our ability to achieve sustained profitability on domestic and international routes and has also caused us to reduce fares for certain routes, resulting in lower yields on many domestic markets. Our ability to compete effectively, particularly in the domestic market, depends, in part, on our ability to maintain a competitive cost structure. If we cannot maintain our costs at a competitive level, then our business, operating results and financial condition could be materially and adversely affected. In addition, our competitors have established new routes and destinations, including some at our hub airports, which may compete with our existing routes and destinations and expansion plans.</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international operations are subject to competition from both foreign and domestic carriers. For instance, competition is significant from government-subsidized competitors from certain Middle East countries. These carriers have large numbers of international widebody aircraft on order and are increasing service to the U.S. from their hubs in the Middle East. The government support provided to these carriers has allowed them to grow quickly, reinvest in their product, invest in other airlines and expand their global presence. We also face competition from foreign carriers operating under "fifth freedom" rights permitted under international treaties that allow certain carriers to provide service to and from stopover points between their home countries and ultimate destinations, including points in the United States, in competition with service provided by us.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Through alliance and other marketing and codesharing agreements with foreign carriers, U.S. carriers have increased their ability to sell international transportation, such as services to and beyond traditional global gateway cities. Similarly, foreign carriers have obtained increased access to interior U.S. passenger traffic beyond traditional U.S. gateway cities through these relationships. In addition, several JBAs among U.S. and foreign carriers have received grants of antitrust immunity allowing the participating carriers to coordinate schedules, pricing, sales and inventory. If we are not able to continue participating in these types of alliance and other marketing and codesharing agreements in the future, our business, operating results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MileagePlus loyalty program plays a significant role in our business, and unfavorable developments affecting the program could adversely affect our business and results of operations.</w:t>
      </w:r>
    </w:p>
    <w:p>
      <w:pPr>
        <w:spacing w:after="0" w:line="1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MileagePlus loyalty program benefits from the attractiveness and competitiveness of United Airlines as a material purchaser of award miles and the majority recipient for mileage redemption. If we are not able to maintain a competitive and attractive airline business, our ability to acquire, engage and retain customers in the MileagePlus loyalty program may be adversely affected, which could adversely affect the loyalty program and our operating results and financial condition.</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MileagePlus loyalty program also faces significant and increasing direct competition from the frequent flyer programs offered by other airlines, as well as from similar loyalty programs offered by banks and other financial services companies. Competition among loyalty programs is intense regarding customer acquisition incentives, the value and utility of program currency, rewards range and value, fees, required usage, and other terms and conditions of these programs. If we are not able to maintain a competitive frequent flyer program, or if we make changes to our loyalty program, including as a result of legal or regulatory requirements or considerations, our ability to attract and retain customers to MileagePlus and United alike may be adversely affected, which could adversely affect our operating results and financial condition.</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the Company's aircraft, engines and certain parts are sourced from a limited number of suppliers; therefore, the Company would be materially and adversely affected if it were unable to obtain timely deliveries, additional equipment or support from any of these suppliers.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currently sources substantially all of its aircraft and many related aircraft parts from The Boeing Company ("Boeing") or Airbus S.A.S. ("Airbus"). In addition, our aircraft suppliers are dependent on other suppliers for certain other aircraft parts. The Company is also dependent on a limited number of suppliers for engines and certain other aircraft parts. Therefore, if the Company is unable to acquire additional aircraft, engines or aircraft parts at acceptable prices, or if the suppliers fail to make timely deliveries of aircraft, engines or aircraft parts (whether as a result of unavailability, increased FAA oversight of the production process, any failure or delay in obtaining regulatory approval or certification for new model aircraft, manufacturing delays or otherwise) or to provide adequate support for their products, including with respect to the aircraft subject to firm orders under our United Next plan, the Company's operations could be materially and adversely affected. For example, due to production delays, deliveries from Boeing and Airbus have been delayed in recent years, which caused the Company to rework its fleet plan, and the Company may experience further delays in the future which may impact our financial position, results of operations and cash flows.</w:t>
      </w:r>
    </w:p>
    <w:p>
      <w:pPr>
        <w:spacing w:after="0" w:line="13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Many of our suppliers are experiencing inflationary pressures, as well as disruptions due to the lingering impacts of global supply chain disruption and labor market constraints and related costs. If one or more of our suppliers, our contractors or their subcontractors continue to experience financial difficulties, delivery delays or other performance problems, they may be unable to meet their commitments to us and our financial position, results of operations and cash flows may continue to be adversely impacted.</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political conditions, in the United States and globally, may have a material adverse effect on our business, operating results and financial condition.</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Company's business and operating results are significantly impacted by U.S. and global economic and political conditions. The airline industry is highly cyclical and the level of demand for air travel is correlated to the strength of the U.S. and global economies, including unemployment levels, consumer confidence levels and the availability of consumer and business credit. Air transportation is often a discretionary purchase that leisure travelers may limit or eliminate during difficult economic times. Short-haul travelers, in particular, have the option to replace air travel with surface travel. In addition, during periods of unfavorable economic conditions, business travelers historically have reduced the volume of their travel, either due to cost-saving initiatives, the replacement of travel with alternatives such as videoconferencing or as a result of decreased business activity requiring travel. Furthermore, an increase in price levels generally or in price levels in a particular sector (such as current inflationary pressures related to domestic and global supply chain constraints, which have led to both overall price increases and pronounced price increases in certain sectors) could result in a shift in consumer demand away from both leisure and business travel. Reduced or flat consumer spending may drive us and our competitors to reduce or offer promotional prices, which would negatively impact our gross margin. Any of the foregoing would adversely affect the Company's business and operating results. Significant declines in industry passenger demand, particularly with respect to the Company's business and premium cabin travelers and a reduction in fare levels could lead to a material reduction in revenue, changes to the Company's operations and deferrals of capital expenditure and other spending. Additionally, any deterioration in global trade relations, such as increased tariffs or other trade barriers, could result in a decrease in the demand for international air travel.</w:t>
      </w:r>
    </w:p>
    <w:p>
      <w:pPr>
        <w:spacing w:after="0" w:line="13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relies extensively on third-party service providers, including certain technology providers. Failure of these parties to perform as expected, or interruptions in the Company's relationships with these providers or their</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of services to the Company, could have a material adverse effect on the Company's business, operating results and financial condition.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engaged third-party service providers to perform a large number of functions that are integral to its business, including regional operations, operation of customer service call centers, distribution and sale of airline seat inventory, provision of information technology infrastructure and services, transmitting or uploading of data, provision of aircraft maintenance and repairs, provision of various utilities and performance of airport ground services, aircraft fueling operations, catering services and air cargo handling services, among other vital functions and services. Although generally the Company enters into agreements that define expected service performance and compliance requirements, there can be no assurance that our third-party service providers will adhere to these requirements. Accordingly, any of these third-party service providers may materially fail to meet their service performance commitments to the Company or may suffer disruptions to their systems, labor groups or supply chains that could impact their services. For example, failures in certain third-party technology or communications systems have caused, and may in the future cause, flight delays or cancellations. In addition, the failure of any of the Company's third-party service providers to perform their service obligations adequately, or other interruptions of services, may reduce the Company's revenues and increase its expenses, prevent the Company from operating its flights and providing other services to its customers or result in adverse publicity or harm to our brand. We may also be subject to consequences from any illegal conduct of our third-party service providers, including for their failure to comply with anti-corruption laws, such as the U.S. Foreign Corrupt Practices Act. In addition, the Company's business and financial performance could be materially harmed if its customers believe that its services are unreliable or unsatisfactory.</w:t>
      </w:r>
    </w:p>
    <w:p>
      <w:pPr>
        <w:spacing w:after="0" w:line="1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may also have disagreements with its third-party service providers and related contracts may be terminated or may not be extended or renewed. For example, the number of flight reservations booked through third-party GDSs or OTAs may be adversely affected by disruptions in the business relationships between the Company and these suppliers. Such disruptions, including a failure to agree upon acceptable contract terms when contracts expire or otherwise become subject to renegotiation, may cause the Company's flight information to be limited or unavailable for display by the affected GDS or OTA operator, significantly increase fees for both the Company and GDS/OTA users and impair the Company's relationships with its customers and travel agencies. Any such disruptions or contract terminations may adversely impact our operations and financial results.</w:t>
      </w:r>
    </w:p>
    <w:p>
      <w:pPr>
        <w:spacing w:after="0" w:line="13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we are not able to negotiate or renew agreements with third-party service providers, or if we renew existing agreements on less favorable terms, our operations and financial results may be adversely affected.</w:t>
      </w:r>
    </w:p>
    <w:p>
      <w:pPr>
        <w:spacing w:after="0" w:line="10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Extended interruptions or disruptions in service at major airports where we operate could have a material adverse impact on our operations, including our ability to operate our existing flight schedule and to expand or change our route network in the future, and space, facility and infrastructure constraints at our hubs or other airports may prevent the Company from maintaining existing service and/or implementing new service in a commercially viable manner.</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airline industry is heavily dependent on business models that concentrate operations in major airports in the United States and throughout the world. An extended interruption or disruption at one of our hubs or other airports where we have a significant presence resulting from ATC delays and disruptions, weather conditions, natural disasters, growth constraints, relationships with or the performance of third-party service providers, cybersecurity incidents and other failures of computer systems, disruptions to government agencies or personnel (including as a result of government shutdowns), regulatory changes, disruptions at airport facilities or other key facilities used by us to manage our operations, labor relations and market constraints, power supplies, fuel supplies, terrorist activities, international hostilities or other factors could result in the cancellation or delay of a significant portion of our flights and, as a result, could have a material adverse impact on our business, operating results and financial condition. For example, during the U.S. federal government shutdown in late 2025, the FAA directed airlines, including the Company, to implement temporary schedule reductions across approximately 40 domestic airports, which required us to modify portions of our regional and domestic mainline flying and resulted in operational disruption and additional costs. In addition, in the spring of 2025, challenges associated with ATC staffing, technology outages and runway construction led to a concentrated number of delays and cancellations out of our EWR hub.</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minimal control over the operation, quality or maintenance of these services or whether our suppliers will improve or continue to provide services that are essential to our business. For example, because we prioritize operational excellence and continually work to optimize our route network and schedule, in light of the industry-wide operational challenges at airports in our network that have limited our system-wide capacity (like the operational disruptions experienced at EWR during the spring of 2025), we have reconfigured our proposed flight schedule and capacity to help improve our operational performance and our customers' experience. These industry-wide operational challenges have had a negative impact on our business and operating results and are expected to continue. In the future, we may not be able to adjust our operations to mitigate their effect, which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may have a negative impact on our business, operating results, financial condition and liquidity and may limit our ability to expand or change our route network and execute our United Next strategy.</w:t>
      </w:r>
    </w:p>
    <w:p>
      <w:pPr>
        <w:spacing w:after="0" w:line="10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airports around the world become more congested, space, facility and infrastructure constraints at our hubs or other airports where we operate now or may operate in the future may prevent the Company from maintaining existing service and/or implementing new service in a commercially viable manner because of a number of factors, including capital improvements at such airports being imposed by the relevant airport authorities without the Company's approval. Capital spending projects of airport authorities currently underway and additional projects that we expect to commence over the next several years are expected to result in increased costs to airlines and the traveling public that use those facilities as the airports seek to recover their investments through increased rental rates, landing fees and other facility costs. These actions have caused and may continue to cause the Company to experience increased space rental rates at various airports in its network, including a number of our hubs and gateways, as well as increased operating costs. Furthermore, the Company is not able to control decisions by other airlines to reduce their capacity, causing certain fixed airport costs to be allocated among fewer total flights and resulting in increased landing fees and other costs for the Company. We currently have sufficient slots or analogous authorizations to operate our existing flights and we have generally, but not always, been able to obtain the rights to expand our operations and to change our schedules, but there can be no assurance that we can maintain existing service or implement new service in a cost-effective manner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conflict, terrorist attacks or security events may adversely affect our business, financial condition and results of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global business with operations outside of the United States from which we derive significant operating revenues, volatile conditions in certain domestic and international regions may have a negative impact on our operating results and our ability to achieve our business objectives. The Company's international operations are a vital part of its worldwide airline network. Political disruptions and instability in certain regions have negatively impacted the demand and network availability for air travel, as well as fuel prices, and may continue to have a negative impact on these and other items. For example, the suspension of the Company's overflying in Russian airspace as a result of the Russia-Ukraine military conflict and interruptions of our flying as a result of military conflicts across the globe have significantly impacted our financial condition, cash flows and results of operations. In addition, terrorist attacks or international hostilities, even if not made on or targeted directly at the airline industry, or the fear of or the precautions taken in anticipation of such attacks (including elevated national threat warnings, travel restrictions, selective cancellation or redirection of flights and new security regulations) could materially and adversely affect the Company and the airline industry. The Company's financial resources and insurance coverage may not be sufficient to absorb the adverse effects of any future terrorist attacks, international hostilities or other security events, which could have a material adverse impact on the Company's financial condition, liquidity and operating results. In addition, due to threats against the aviation industry, the Company has incurred, and may continue to incur, significant expenditures to comply with security-related requirements to mitigate threats and protect the safety of our employees and customers.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our reputation and brand image is critical to our business success and if our reputation or brand image is damaged, it could adversely affect our business or financial results.</w:t>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operate in a public-facing industry and our brand is recognized throughout most of the world. Maintaining, enhancing and leveraging the value of our reputation and brand image is critical to the future success of our business. The Company's reputation or brand image could be diminished or eroded by a variety of factors, including any actual or perceived failure to maintain satisfactory practices for all of our operations and activities or to reassure the traveling public of the safety of air travel at any of our major hub locations; any failure or perceived failure to achieve and/or make progress toward any publicly-announced safety, community impact, environmental sustainability, human capital management, people impact, responsible sourcing, cybersecurity or governance ("Corporate Citizenship") goals, which are aspirational in nature, subject to risks and uncertainties that are outside of our control and are not guarantees that we will be able to achieve them–within the anticipated timelines disclosed or at all; our stakeholders—including proxy advisory services—not being satisfied with our Corporate Citizenship goals or strategy, our efforts to meet such goals or our actual or perceived position or lack of position on political, public policy or other sensitive issues; public pressure, which can be varied and conflicting, from investors or policy groups to change our Corporate Citizenship goals, policies and strategies or our position on political, public policy or other sensitive issues; customer perceptions of our advertising campaigns, sponsorship arrangements or marketing programs, including greenwashing concerns regarding our advertising campaigns and marketing programs related to our sustainability initiatives; deficiencies in the quantitative data that we disclose in relation to our Corporate Citizenship goals; customer perceptions of statements made by us, our employees, executives or agents or others; our inability to respond in a timely and appropriate manner to address negative, inaccurate or malicious publicity (such as posts, articles or comments on social media, on the internet or in the press, which can be disseminated quickly and broadly without context), including, but not limited to, as a result of external developments or actual or perceived misconduct by our employees, partners or customers; or other matters discussed elsewhere in this risk factors section. Damage to our reputation or brand image or loss of customer confidence in our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services has in the past adversely affected—and could in the future adversely affect—our business and financial results, as well as has in the past required —and could in the future require—additional resources to rebuild our reputation that may not be successful.</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Regulators, customers, investors, employees and other stakeholders are focusing more on Corporate Citizenship impacts of operations, diligence processes and related disclosures, which are subject to legislation, regulations, standards and accords for identifying, collecting, measuring and reporting that are developing and sometimes ambiguous, inconsistent or conflicting, could change over time and could result in significant revisions of our goals. This scrutiny and the associated legislation, regulations, standards and accords also involve internal controls and processes that continue to evolve and are not uniform; depend in part on third-party performance or data that is outside the Company's control; expose us to litigation and regulatory enforcement risks; and have resulted in, and are likely to continue to result in, increased general and administrative expenses and increased management time and attention spent complying with or meeting such expectations, legislation, regulations, standards and accords.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reputation and brand image may be impacted by our ability to comply with applicable Corporate Citizenship-related federal, state and international binding or non-binding legislation, regulation, standards and accords as well as by the accuracy, adequacy or completeness of our disclosures relating to our Corporate Citizenship goals and initiatives and progress towards those goals.</w:t>
      </w:r>
    </w:p>
    <w:p>
      <w:pPr>
        <w:spacing w:after="0" w:line="1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our regional network and United Express flights provided by third-party regional carriers could adversely affect our business, operating results and financial condition.</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While the Company has contractual relationships that are material to its business with various regional carriers to provide regional aircraft service branded as United Express that include contractually agreed performance metrics, each regional carrier is a separately certificated commercial air carrier, and the Company does not control the operations of these carriers. A number of factors may impact the Company's regional network, including weather-related effects, seasonality, equipment, software, or other system failures or disruptions and cybersecurity attacks and any significant declines in demand for air travel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Technology, Cybersecurity and Data Privacy Risks</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heavily on technology and automated systems to operate its business and any significant failure or disruption of, or failure to effectively integrate and implement, these technologies or systems could materially harm its business or business strategy.</w:t>
      </w:r>
    </w:p>
    <w:p>
      <w:pPr>
        <w:spacing w:after="0" w:line="10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depends on technology and automated systems, including artificial intelligence ("AI"), to operate its business, including, but not limited to, computerized airline reservation systems, electronic tickets, electronic airport kiosks, demand prediction software, flight operations systems, in-flight wireless internet, cloud-based technologies, technical and business operations systems and commercial websites and applications, including www.united.com and the United Airlines mobile app. These systems could suffer substantial or repeated disruptions due to various events, some of which are beyond the Company's control (including natural disasters (which may occur more frequently or intensely as a result of the impacts of climate change), power failures, terrorist attacks, dependencies on third-party technology services, equipment or software failures, cybersecurity attacks, insider threats or other security breaches and the deployment by certain wireless carriers of "5G" service networks), which could reduce the attractiveness of the Company's services versus those of our competitors, materially impair our ability to market our services and operate our flights, result in the unauthorized release of confidential or sensitive information, or information that should be protected from inadvertent disclosures, negatively impact our reputation among our customers and the public, subject us to liability to third parties, regulatory action or contract termination and result in other increased costs, lost revenue and the loss of, or compromise to the integrity, availability or confidentiality of, important data. These systems have in the past and may in the future be subject to failure, disruption or cyber incidents as a result of these or other factors. Substantial or repeated systems failures or disruptions may adversely affect the Company's business, operating results, financial condition and business strategy. We have cybersecurity frameworks, resiliency initiatives and disaster recovery plans in place designed to prevent and mitigate disruptions, and we continue to invest in improvements to these initiatives and plans. We also maintain property and business interruption insurance. However, these measures may not be adequate to prevent or mitigate disruptions or provide coverage for the Company's associated costs, some of which may be unforeseeable.</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Automated systems and technologies, including AI, are becoming increasingly important in our operations over time. The Company may face challenges in implementing, integrating and modifying the automated systems and technologies required to operate its business or new systems and technologies designed to enhance its business, each of which may require significant expenditures, human resources, the development of effective internal controls and the transformation of business and financial processes. Our competitors or other third parties may incorporate AI into their products more quickly or more successfully than us, which could impair our ability to compete effectively and adversely affect our results of operations. Additionally, if AI is improperly utilized, including if the content, analyses, or recommendations that AI applications assist in producing are or are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alleged to be deficient, inaccurate, or biased, we would be exposed to new or expanded risks and liabilities related to inaccuracies or errors in the output of such AI applications and our business, reputation, financial condition, and results of operations may be adversely affected. AI also presents emerging ethical issues, and if our use of AI becomes controversial, we may experience brand or reputational harm, competitive harm, or legal liability. The rapid evolution of AI, including current and proposed government regulation of AI, may require significant resources to develop, test and maintain our AI platform and services to help us implement AI in a compliant and ethical manner in order to minimize any adverse impact to our business. If the Company is generally unable to timely or effectively implement, integrate or modify its systems and technologies, the Company's operations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privacy, data security and cybersecurity obligations or a significant data breach may adversely affect the Company's business.</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our regular business operations, we collect, process, store and transmit to commercial partners sensitive data, including personal information of our customers and employees, such as payment processing information, and information of our business partners to provide our services and operate our business.</w:t>
      </w:r>
    </w:p>
    <w:p>
      <w:pPr>
        <w:spacing w:after="0" w:line="1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must manage increasing legislative, regulatory and consumer focus on privacy issues, data security and cybersecurity risk management in a variety of jurisdictions domestically and across the globe. For example, the EU's General Data Protection Regulation imposes significant privacy and data security requirements, as well as potential for substantial penalties for non-compliance that have resulted in substantial adverse financial consequences to non-compliant companies. Similarly, Executive Order 14117 (Preventing Access to Americans' Bulk Sensitive Personal Data and US Government Related Data By Countries of Concern), and its implementing regulations, may limit our ability to share information with China and other "Countries of Concern" and certain service providers. Depending on the regulatory interpretation and enforcement of emerging data protection regulations and industry standards, the Company's business operations could be impacted, up to and including being unable to operate, within certain jurisdictions. Also, some of the Company's commercial partners, such as credit card companies, have imposed data security standards that the Company must meet. The Company will continue its efforts to meet its privacy, data security and cybersecurity risk management obligations; however, it is possible that certain new obligations or customer expectations may be difficult to meet and could require changes in the Company's operating processes and increase the Company's costs. Any significant liabilities associated with violations of any related laws or regulations could also have an adverse effect on our business, operating results, financial condition and liquidity, reputation and consumer relationships.</w:t>
      </w:r>
    </w:p>
    <w:p>
      <w:pPr>
        <w:spacing w:after="0" w:line="13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Additionally, the Company must manage the increasing threat of continually evolving cybersecurity risks. Our network, systems and storage applications, and those systems and applications maintained by our third-party commercial partners (such as aircraft and engine suppliers, cloud computing companies, credit card companies, regional airline carriers and international airline partners) have been and likely will continue to be subject to attempts to gain unauthorized access, breaches, malfeasance or other system disruptions, including those involving criminal hackers, denial of service attacks, hacktivists, state-sponsored actors, corporate espionage, employee malfeasance and human or technological error. In some cases, it is difficult to anticipate or to detect immediately such incidents and the damage caused thereby, and we may not be able to realize the benefits of our proactive defense measures and may experience operational difficulty in implementing them. Our use of AI applications has resulted in certain immaterial cybersecurity incidents and may in the future result in additional cybersecurity incidents, including incidents that implicate the personal data of our customers, employees or users of such applications, any of which could have an adverse effect on our business, operating results, financial condition and liquidity, reputation and consumer relationships. In addition, as attacks by cybercriminals and nation state actors become more sophisticated, frequent and intense, the costs of proactive defense measures have increased and will likely continue to increase. Furthermore, the Company's remote work arrangements may make it more vulnerable to targeted activity from cybercriminals and significantly increase the risk of cyberattacks or other security breaches. While we endeavor to safeguard our network, systems and applications, including through risk assessments, system monitoring, cybersecurity and data protection policies, processes and technologies and employee awareness and training, and seek to require that third parties adhere to security standards, there is no assurance that such actions will be sufficient to prevent actual or perceived cybersecurity incidents or data breaches or the damages and impacts to our business that result therefrom.</w:t>
      </w:r>
    </w:p>
    <w:p>
      <w:pPr>
        <w:spacing w:after="0" w:line="12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Any such cybersecurity incident or data breach could result in significant costs, including monetary damages, operational impacts, including service interruptions and delays, and reputational harm. Furthermore, the loss, disclosure, misappropriation of or access to sensitive Company information, customers', employees' or business partners' information or the Company's failure to meet its privacy or data protection obligations could result in legal claims or proceedings, penalties and remediation costs. A significant data breach or the Company's failure to meet its data privacy or data protection obligations may adversely affect the Company's operations, reputation, relationships with our business partners, business, operating results, financial condition and business strategy.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use of social media platforms present risks and challenges.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increasing our use of social media to communicate Company news and events. The inappropriate and/or unauthorized use of certain media vehicles could cause brand damage or information leakage or could lead to legal implications, including from the improper collection and/or dissemination of personally identifiable information from employees, customers or other stakeholders. In addition, negative or inaccurate posts or comments about us on any social networking website could damage our reputation, brand image and goodwill. Further, the disclosure of non-public Company-sensitive information by our workforce or others, whether intentional or unintentional, through external media channels could lead to information loss and reputational or competitive harm.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Management Risks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Union disputes, employee strikes or slowdowns and other labor-related disruptions as well as increased employee and retiree health, pension, labor and regulatory compliance costs could adversely affect the Company's business, operations and results of operations.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United is a highly unionized company. As of December 31, 2025, the Company and its subsidiaries had approximately 113,200 employees, of whom approximately 83% were represented by various U.S. labor organizations. See Part I, Item 1. Business—Human Capital Management and Resources of this report for additional information on our represented employee groups and collective bargaining agreements. If we are unable to reach an agreement with any of our unionized work groups in future negotiations regarding the terms of their collective bargaining agreement, we may be subject to work interruptions or stoppages, which could adversely affect our business and operations. There is also a possibility that our unionized work groups could engage in job actions such as slowdowns, work-to-rule campaigns, sick-outs or other similar activity designed to disrupt the Company's normal operations in an attempt to pressure the Company in collective bargaining negotiations. Although the Railway Labor Act makes such actions unlawful until the parties have been lawfully released to self-help after the failure of direct negotiation, mediation and arbitration process to reach a resolution, and the Company can seek injunctive relief against premature self-help, such actions can cause significant harm to the Company's operations even if ultimately enjoined. There is also a risk that our unionized work groups might pursue judicial or arbitral claims arising out of changes implemented as a result of the Company entering into collective bargaining agreements with its represented employee groups. Similarly, if the operations of our third-party regional carriers, ground handlers or other partners (including our suppliers) are impacted by labor-related disruptions, our operations as well as our strategic operating plan could be adversely affected.</w:t>
      </w:r>
    </w:p>
    <w:p>
      <w:pPr>
        <w:spacing w:after="0" w:line="13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active employee and retiree health programs, pension benefits and salary expenses are significant. For instance, the costs of providing pension and other retirement benefit plans are dependent on numerous assumptions and the changes in actuarial assumptions and differences between the assumptions and actual values, as well as significant declines in the value of investments that fund our pension and other postretirement plans, if not offset or mitigated by a decline in plan liabilities, could increase pension and other postretirement expense, and we could be required from time to time to fund the pension plans with significant amounts of cash. Further, we participate in the multi-employer benefit plan for employees covered under our collective bargaining agreement with the IAM and have agreed to contribute certain amounts, which could increase in future. The funding status of the plan is subject to risk that other employers may not meet their obligations and if we were to withdraw or terminate, or if the plan were to undergo a mass withdrawal, we could be subject to liability as imposed by law. In addition, collective bargaining agreements with the Company's represented employee groups have materially increased the Company's labor costs due to wage inflation. We remain in negotiations regarding certain of these collective bargaining agreements and anticipate that any new contracts involving the relevant labor groups may include material increases in salaries and other benefits, which would significantly increase our labor expense. Furthermore, there is rising litigation in the airline industry over the application of state and local employment and labor laws that purport to govern benefits and duties of certain employee groups but are increasingly in conflict with our negotiated collective bargaining agreements. Adverse decisions in these cases could negatively impact our operational flexibility and ability to apply our collective bargaining agreements as negotiated.</w:t>
      </w:r>
    </w:p>
    <w:p>
      <w:pPr>
        <w:spacing w:after="0" w:line="13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hire, develop or retain skilled personnel, including our senior management team or other key employees, our business could be adversely affected.</w:t>
      </w:r>
    </w:p>
    <w:p>
      <w:pPr>
        <w:spacing w:after="0" w:line="10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Much of our future success is largely dependent on our continued ability to recruit, hire, develop and retain highly-qualified personnel with industry experience and knowledge, including our senior management team and other key employees. Competition for the best-qualified talent in the aviation industry is intense. Labor market constraints may arise in the future, including as a result of an intensely competitive labor market. If these or other constraints lead to a sustained shortage of skilled labor, the cost of hiring and retaining quality talent could materially increase and our operations and service levels may be impacted, which could impair our ability to adjust capacity or otherwise execute our strategic operating plan. In addition, if we are unable to effectively provide for the smooth transition of senior management or other key employees, despite our robust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0"/>
        <w:spacing w:after="0" w:line="435" w:lineRule="auto"/>
        <w:rPr>
          <w:sz w:val="20"/>
          <w:szCs w:val="20"/>
          <w:color w:val="auto"/>
        </w:rPr>
      </w:pPr>
      <w:r>
        <w:rPr>
          <w:rFonts w:ascii="Times New Roman" w:cs="Times New Roman" w:eastAsia="Times New Roman" w:hAnsi="Times New Roman"/>
          <w:sz w:val="18"/>
          <w:szCs w:val="18"/>
          <w:color w:val="auto"/>
        </w:rPr>
        <w:t xml:space="preserve">management succession planning process, our business, ability to execute our strategic operating plan and company culture may be adversely affected. </w:t>
      </w:r>
      <w:r>
        <w:rPr>
          <w:rFonts w:ascii="Times New Roman" w:cs="Times New Roman" w:eastAsia="Times New Roman" w:hAnsi="Times New Roman"/>
          <w:sz w:val="18"/>
          <w:szCs w:val="18"/>
          <w:b w:val="1"/>
          <w:bCs w:val="1"/>
          <w:u w:val="single" w:color="auto"/>
          <w:color w:val="auto"/>
        </w:rPr>
        <w:t>Regulatory, Tax, Litigation and Legal Compliance Risks</w:t>
      </w:r>
    </w:p>
    <w:p>
      <w:pPr>
        <w:spacing w:after="0" w:line="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airline industry is subject to extensive government regulation, which imposes significant costs and may adversely impact our business, operating results and financial condition.</w:t>
      </w:r>
    </w:p>
    <w:p>
      <w:pPr>
        <w:spacing w:after="0" w:line="1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Airlines are subject to extensive regulatory and legal oversight. Compliance with U.S. and international regulations imposes significant costs and may have adverse effects on the Company.</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United provides air transportation under certificates of public convenience and necessity issued by the DOT. If the DOT modified, suspended or revoked these certificates, it could have a material adverse effect on the Company's business. The DOT also regulates consumer protection and, through its investigations or rulemaking authority could impose restrictions that materially impact the Company's business. United also operates pursuant to an air carrier operating certificate issued by the FAA, and FAA orders and directives have previously resulted in the temporary grounding of an entire aircraft type when the FAA identifies design, manufacturing, maintenance or other issues requiring immediate corrective action which has had and could in the future have a material effect on the Company's business, operating results and financial condition.</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FAA's reauthorization, which runs through fiscal year 2028, increased the authorized funding level for the FAA and required the hiring of additional air traffic controllers, an effort to address staffing and resource shortages and improve the operation of the ATC system in the U.S. Any new or enhanced requirements resulting from the FAA reauthorization may materially impact our operations and costs. Additionally, the U.S. Congress may consider legislation related to environmental issues relevant to the airline industry, such as the implementation of CORSIA, which could negatively impact the Company and the airline industry.</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operations may also be adversely impacted due to the existing antiquated ATC system utilized by the U.S. government and regulated by the FAA, which may not be able to effectively handle projected future air traffic growth. The outdated ATC system has led to short-term capacity constraints imposed by government agencies and has resulted in delays and disruptions of air traffic during peak travel periods in certain markets due to its inability to handle demand and reduced resiliency in the event of a failure causing flight cancellations and delays. For example, in the spring of 2025, challenges associated with ATC staffing and technology outages at EWR led to a concentrated number of delays and cancellations. Failure to update the ATC system in a timely manner and the substantial funding requirements of a modernized ATC system that may be imposed on air carriers may have an adverse impact on the Company's financial condition or operating results.</w:t>
      </w:r>
    </w:p>
    <w:p>
      <w:pPr>
        <w:spacing w:after="0" w:line="13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Access to slots at several major U.S. airports and many foreign airports served by the Company is subject to government regulation on airspace management and competition that might limit the number of slots or change the rules on the use and transfer of slots. If slots are eliminated at one of our hubs or other airports, or if the number of hours of operation governed by slots is reduced at an airport, the lack of controls on take-offs and landings could result in greater congestion both at the affected airport and in the regional airspace and could significantly impact the Company's operations. Similarly, a government or regulatory agency, including the DOT, could choose to impose slot restrictions or cap hourly arrivals and departures at one of our hubs or other airports (as the FAA did at EWR in 2025, when it issued an order capping operations through October 2026) or grant increased access to another carrier and limit or reduce our operations at an airport, whether or not slot-controlled, which could have a significant impact on our operations. The DOT (including the FAA) may limit the Company's airport access by limiting the number of departure and arrival slots at congested airports, which could affect the Company's ownership and transfer rights, and local airport authorities may have the ability to control access to certain facilities or the cost to access their facilities, which could have an adverse effect on the Company's business. If the DOT were to take actions that adversely affect the Company's slot holdings, the Company could incur substantial costs to preserve its slots or may lose slots.</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currently operates a number of flights on international routes under government arrangements, regulations or policies that designate the number of carriers permitted to operate on such routes, the capacity of the carriers providing services on such routes, the airports at which carriers may operate international flights or the number of carriers allowed access to particular airports. Applicable arrangements between the U.S. and foreign governments (such as Open Skies) may be amended from time to time, government policies with respect to aviation may be revised or may lead to termination of air service agreements and the availability of appropriate slots or facilities may change.Depending on the nature of any such change, the value of the Company's international route authorities and slot rights may be materially enhanced or diminished. Similarly, foreign governments control their airspace and can restrict our ability to overfly their territory, which may diminish the value of the Company's existing international route authorizations and slot rights. Any such change could have a material adverse impact on the Company's financial condition and operating results and could result in the impairment of material amounts of related tangible and intangible assets.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disruptions to the Company's business could result from the deployment of new cellular networks (e.g., "5G") by wireless carriers, which, due to potential interference with aircraft systems, could cause flights to be cancelled or diverted, which in turn could affect consumer perceptions of the safety of air travel. For example, over the past years regulators have addressed potential "5G" interference on a temporary and piecemeal basis tailored to specific aircraft and airports, which could occur again. Systematic regulation of the overlap between aviation systems and cellular networks may not occur in the near term or may not involve terms that are favorable to the Company.</w:t>
      </w:r>
    </w:p>
    <w:p>
      <w:pPr>
        <w:spacing w:after="0" w:line="1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Moreover, any legislation that would result in a reshaping of the benefits that the Company is able to provide to its consumers through the co-branded credit cards issued by our partner could also materially negatively affect the Company's profitability and competitive position.</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competition from revenue-sharing JBAs and other alliance arrangements by and among other airlines could impair the value of the Company's business and assets on the Open Skies routes. The Company's plans to enter into or expand U.S. antitrust immunized alliances and JBAs on various international routes are subject to receipt of approvals from applicable U.S. federal authorities and other applicable foreign government clearances or satisfaction of other applicable regulatory requirements. There can be no assurance that such approvals and clearances will be granted or will continue in effect upon further regulatory review or that changes in regulatory requirements or standards can be satisfied.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 Business—Industry Regulation, of this report for additional information on government regulation impacting the Company.</w:t>
      </w:r>
    </w:p>
    <w:p>
      <w:pPr>
        <w:spacing w:after="0" w:line="16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or future litigation and regulatory actions, or failure to comply with the terms of any settlement, order or agreement relating to these actions, could have a material adverse impact on the Company.</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we are subject to litigation and other legal and regulatory proceedings relating to our business or investigations or other actions by governmental agencies, including as described in Part I, Item 3. Legal Proceedings, of this report. In addition, the Company was subject to an increased risk of litigation and other proceedings as a result of the COVID-19 pandemic and responsive measures. For example, the Company is involved in a certified class action lawsuit relating to its vaccination requirements for employees. No assurances can be given that the results of these or any potential new matters will be favorable to us. An adverse resolution of lawsuits, arbitrations, investigations or other proceedings or actions could have a material adverse effect on our financial condition and operating results, including as a result of non-monetary remedies, and could also result in adverse publicity. Defending ourselves in these matters may be time-consuming, expensive and disruptive to normal business operations and may result in significant expense and a diversion of management's time and attention from the operation of our business, which could impede our ability to achieve our business objectives. Additionally, any amount that we may be required to pay to satisfy a judgment, settlement, fine or penalty may not be covered by insurance. If we fail to comply with the terms contained in any settlement, order or agreement with a governmental authority relating to these matters, we could be subject to criminal or civil penalties, which could have a material adverse impact on the Company. Under our charter and certain indemnification agreements that we have entered into (and may in the future enter into) with our officers, directors and certain third parties, we could be required to indemnify and advance expenses to them in connection with their involvement in certain actions, suits, investigations and other proceedings. Any of these payments may be material.</w:t>
      </w:r>
    </w:p>
    <w:p>
      <w:pPr>
        <w:spacing w:after="0" w:line="13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many forms of environmental regulation and liability as well as risks associated with climate change and may incur substantial costs as a result.</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Many aspects of the Company's operations are subject to federal, state, local and international laws regarding the environment, including those relating to aircraft and ground-based carbon emissions, noise, plastic use, water discharges, safe drinking water and the use and management of hazardous materials and wastes. Compliance with existing and future environmental laws and regulations has required and may in the future require significant expenditures and operational changes. Violations have led and may in the future lead to significant fines, penalties, lawsuits and reputational harm. In addition, we have in the past been identified—and may in the future be identified—as a responsible party for environmental investigation and remediation costs under applicable environmental laws due to the disposal or release of hazardous substances generated by our operations, including PFAS, two of which, PFOA and PFOS, were designated by U.S. EPA as hazardous substances under the CERCLA. We could also be subject to environmental liability claims from various parties—including airport authorities and other third parties—related to our operations at our owned or leased premises, including our use of PFAS-containing fire suppression systems as required by fire codes and insurers, or the off-site disposal of waste generated at our facilities.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in Part I, Item 1. Business—Our Approach to Corporate Citizenship and Value Creation—Environmental Sustainability Strategy, the Company has made commitments to reduce its GHG emissions by 100% by 2050 and its carbon emission intensity by 50% by 2035 compared to 2019. The Company has incurred, and expects to continue to incur, costs to achieve its climate goals—which will involve a transition to lower-carbon technologies (such as SAF)—and to comply with environmental sustainability legislation and regulation and non-binding standards and accords. Such activity may require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Company to modify its supply-chain practices, make capital investments to modify certain aspects of its operations or increase its operating costs (including fuel costs). The potential transition cost to a lower-carbon economy could be prohibitively expensive without appropriate government policies and incentives in place. The precise nature of future binding or non-binding legislation, regulation, standards and accords in this area of increased focus by global, national and regional regulators is difficult to predict and the financial impact to the Company could be significant if future legal standards and regulatory policies do not align with or support the Company's plans to achieve its climate goals. There is a risk that a patchwork of inconsistent or conflicting regional regulations, could unduly shift excessive cost burden to airlines and inhibit the development of carbon reduction technologies that the Company needs to reach its climate goals. In addition, while CORSIA-related costs cannot be fully predicted at this time, the program is expected to increase operating costs for airlines that operate internationally.</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can be no assurance of the extent to which any of our climate goals will be achieved or that any current or future investments that we make in furtherance of achieving our climate goals will produce the expected results or meet stakeholders' evolving expectations. Moreover, future events could lead the Company to prioritize other nearer-term interests over progressing toward our current climate goals based on business strategy, economic, regulatory and social factors or pressure from investors or other stakeholders. If we fail—or are perceived to fail—to meet or properly report on our progress toward achieving our climate change goals and commitments, we could face adverse reactions from investors or other stakeholders, which could result in adverse effects to the Company. In addition, the Company believes it is possible that, in the future, segments of the public may choose to fly less frequently as a result of negative perception of the environmental impact of air travel or fly on an airline based on carriers' GHG emissions or which carrier they perceive as operating in a manner that is more sustainable to the climate, which presents both a challenge and an opportunity for the Company; if this trend materializes, the Company's results of operations could be adversely impacted and those impacts could be exacerbated if the Company fails to meet or properly report on its climate change goals and commitments. More broadly, we could also be subject to climate litigation as groups, individuals and governmental authorities affected by climate change seek to recover climate-related damages from entities they perceive as being partially responsible for human-induced climate change because of the emission of GHGs from their operations.</w:t>
      </w:r>
    </w:p>
    <w:p>
      <w:pPr>
        <w:spacing w:after="0" w:line="13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Company's key pathways to achieving its climate goals include investing in and using more SAF, reducing its conventional jet fuel consumption and working with strategic partners to advance the future of more sustainable flight. The achievement of our goals is therefore largely dependent on the significant development of and maturation in the SAF market. Currently, there is a premium for SAF above the cost of conventional jet fuel and this premium has recently increased in certain markets due to SAF blending mandates in Europe, the UK and other parts of the world. The Company has been able to increase its purchases of SAF in recent years due to its corporate customers' funding of the price premium for SAF through the Company's Eco-Skies Alliance, but the willingness of corporate customers to assist the Company in covering the price premium for SAF in the future could decrease for a number of reasons, including based on economic factors or concerns regarding the validity of a book-and-claim approach for claiming the emissions reductions from SAF, constraints on supplies of SAF that meet customer requirements, emerging SAF certification or book-and-claim restrictions developed by governments or non-governmental organizations or practices whereby corporate customers purchase the environmental attributes from SAF directly from fuel producers, bypassing the airlines. In addition, the demand for cost-competitive SAF within the aviation industry significantly exceeds the current available supply. While we have been able to increase our current supply of SAF year-over-year through definitive offtake agreements, we have also entered into certain conditional agreements with start-up companies for future SAF supply. These conditional SAF purchase agreements for future SAF supply may pertain to production from facilities that are planned but not yet operational and may utilize technology that has not been proven at commercial scale. There is no assurance that these facilities will produce SAF at commercial scale or that they will meet expected production timelines and volumes.</w:t>
      </w:r>
    </w:p>
    <w:p>
      <w:pPr>
        <w:spacing w:after="0" w:line="1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seek to mitigate our business risks associated with climate change by establishing robust environmental programs, the Company has incurred costs and substantial operational disruptions as a result of both its physical risks (such as extreme weather conditions or rising sea levels) and transition risks (such as regulatory or technological changes) associated with climate change. Climate change is expected to increase the frequency, severity, unpredictability and duration of severe weather events and other natural cycles and could affect travel demand for certain of our flight offerings as well as result in increases in delays and cancellations, turbulence-related injuries and fuel consumption to avoid such weather, any of which could result in a significant loss of revenue and higher costs. These events and the disruptions, alone or in combination, could also lead to increased costs for and reduced availability of insurance. In addition, certain of our and our vendors' and airport authorities' operations and facilities around the world are in locations that may be impacted by the physical impacts of climate change and we could incur significant costs to improve the climate resiliency of our infrastructure and supply chain and otherwise prepare for, respond to and mitigate the effects of climate change. We are not able to reasonably predict the future materiality of any potential losses or costs associated with the effects of climate change.</w:t>
      </w:r>
    </w:p>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Part I, Item 1. Business—Industry Regulation—Environmental Regulation, of this report for additional information on environmental regulation impacting the Company.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Liquidity, Accounting and Financial Risks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 and/or volatile fuel prices or significant disruptions in the supply of aircraft fuel could have a material adverse impact on the Company's strategic plans, operating results, financial condition and liquidity.</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Aircraft fuel is critical to the Company's operations and is one of our largest operating expenses. During the year ended December 31, 2025, the Company's fuel expense was approximately $11.4 billion. The timely and adequate supply of fuel to meet operational demand depends on the continued availability of reliable fuel supply sources as well as related service and shared delivery infrastructure. Although the Company has some ability to cover short-term fuel supply and infrastructure disruptions at some major demand locations, it depends significantly on the continued performance of its vendors and service providers to maintain supply integrity. While the Company plans for long-term fuel demand to support its strategic growth plan, it depends on securing adequate fuel supply for future needs at cost competitive rates and the timely completion of planned infrastructure investments. Consequently, the Company can neither predict nor guarantee the continued timely or adequate availability of aircraft fuel throughout the Company's system.</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Aircraft fuel has historically been the Company's most volatile operating expense due to the highly unpredictable nature of market prices for fuel. The Company generally sources fuel at prevailing market prices, which have historically fluctuated substantially in short periods of time and continue to be volatile due to a multitude of unpredictable factors beyond the Company's control, including changes in global crude oil prices, closely related diesel prices, regional balances between aircraft fuel supply and demand, natural disasters, weather events, regional fuel inventory levels and availability and cost of oil refining and transportation infrastructure. Prices of aircraft fuel are also impacted by indirect factors, such as geopolitical events, economic growth indicators, strength of the U.S. dollar, fiscal/monetary policies, sanctions and tariffs that impede the global flow of oil and refined products, fuel tax policies, changes in regulations, environmental concerns and degree of financial investments in energy markets. Both actual changes in these factors, as well as changes in related market expectations, can potentially drive rapid changes in fuel prices in short periods of time. Rising fuel prices can also lead to constraints on the Company's regional partners, reduced capital available for other spending or other outcomes that could adversely impact the Company.</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Given the highly competitive nature of the airline industry, the Company historically has had limited ability to, and may not be able to in the future, increase its fares and fees sufficiently to offset the full impact of increases in fuel prices, especially if these increases are significant, rapid and sustained. Further, any such fare or fee increase may not be sustainable, may reduce the general demand for air travel and may also eventually impact the Company's operations, strategic growth and investment plans for the future. In addition, decreases in fuel prices for an extended period of time may result in increased industry capacity, increased competitive actions for market share and lower fares or surcharges. If fuel prices were to then subsequently rise quickly, there may be a lag between the rise in fuel prices and any improvement of the revenue environment.</w:t>
      </w:r>
    </w:p>
    <w:p>
      <w:pPr>
        <w:spacing w:after="0" w:line="13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does not currently hedge the market price of its future fuel requirements. However, to the extent the Company decides to start a hedging program to hedge a portion of its future fuel requirements, such hedging program may not be successful in mitigating higher fuel costs and any price protection provided may be limited due to the choice of hedging instruments and market conditions, including the breakdown of correlation between any such hedging instrument and the market price of aircraft fuel and failure of hedge counterparties. To the extent that the Company decides to use hedge contracts that have the potential to create an obligation to pay upon settlement if fuel prices decline significantly, such hedge contracts may limit the Company's ability to benefit fully from lower fuel prices in the future. If fuel prices decline significantly from the levels existing at the time the Company enters into a hedge contract, the Company may be required to post collateral (margin) beyond certain thresholds. There can be no assurance that any such hedging arrangements would provide any particular level of protection against rises in fuel prices or that the counterparties to any such hedging arrangements would be able to perform. Additionally, deterioration in the Company's financial condition could negatively affect its ability to enter into hedge contracts in the future.</w:t>
      </w:r>
    </w:p>
    <w:p>
      <w:pPr>
        <w:spacing w:after="0" w:line="13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a significant amount of financial leverage from fixed obligations and insufficient liquidity may have a material adverse effect on the Company's financial condition and business.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a significant amount of financial leverage from fixed obligations, including aircraft lease and debt financings, leases of airport property, secured bonds, secured and unsecured loan facilities and other facilities, and other material cash obligations. In addition, the Company has substantial noncancelable commitments for capital expenditures, including for the acquisition of new aircraft and related spare engines. If the Company's liquidity is materially diminished, the Company's substantial level of indebtedness, the Company's non-investment grade credit ratings and the lack of availability of Company assets as collateral for loans or other indebtedness may make it difficult for the Company to raise additional capital if needed to meet its liquidity needs on acceptable terms, or at all, and the Company may not be able to timely pay its leases and debts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material provisions of its contractual obligations, including covenants under its financing and credit card processing agreements.</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the foregoing, the degree to which we are leveraged could have important consequences to holders of our securities, including the following: we must dedicate a substantial portion of cash flow from operations to the payment of principal and interest on applicable indebtedness, which, in turn, reduces funds available for operations and capital expenditures; our flexibility in planning for, or reacting to, changes in the markets in which we compete may be limited; we may be at a competitive disadvantage relative to our competitors with less indebtedness; we are rendered more vulnerable to general adverse economic and industry conditions; we are exposed to increased interest rate risk given that a portion of our indebtedness obligations are at variable interest rates; and our credit ratings may be reduced and our debt and equity securities may significantly decrease in value.</w:t>
      </w:r>
    </w:p>
    <w:p>
      <w:pPr>
        <w:spacing w:after="0" w:line="13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 of this report for additional information regarding the Company's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governing our debt include financial and other covenants. Failure to comply with these covenants could result in events of default.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financing agreements include various financial and other covenants. Certain of these covenants require UAL or United, as applicable, to maintain minimum liquidity and/or minimum collateral coverage ratios. UAL's or United's ability to comply with these covenants may be affected by events beyond its control, including the overall industry revenue environment, the level of fuel costs and the appraised value of the collateral. In addition, our financing agreements contain other negative covenants customary for such financings. If we fail to comply with these covenants and are unable to remedy or obtain a waiver or amendment, an event of default would result.</w:t>
      </w:r>
    </w:p>
    <w:p>
      <w:pPr>
        <w:spacing w:after="0" w:line="1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If an event of default were to occur, the lenders could, among other things, declare outstanding amounts immediately due and payable. In addition, an event of default or declaration of acceleration under one financing agreement could also result in an event of default under other of our financing agreements due to cross-default and cross-acceleration provisions. The acceleration of significant amounts of debt could require us to renegotiate, repay or refinance the obligations under our financing arrangements, and there can be no assurance that we will be able to do so on commercially reasonable terms or at all.</w:t>
      </w:r>
    </w:p>
    <w:p>
      <w:pPr>
        <w:spacing w:after="0" w:line="10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use its net operating loss carryforwards and certain other tax attributes to offset future taxable income for U.S. federal income tax purposes may be significantly limited due to various circumstances, including certain possible future transactions involving the sale or issuance of UAL common stock, or if taxable income does not reach sufficient levels.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December 31, 2025, UAL reported consolidated U.S. federal net operating loss ("NOL") carryforwards of approximately $10.6 billion. The Company's ability to use its NOL carryforwards and certain other tax attributes will depend on the amount of taxable income it generates in future periods and, as a result, certain of the Company's NOL carryforwards and other tax attributes may expire before it can generate sufficient taxable income to use them in full. In addition, the Company's ability to use its NOL carryforwards and certain other tax attributes to offset future taxable income may be limited if it experiences an "ownership change" as defined in Section 382 of the Internal Revenue Code of 1986, as amended. Potential future transactions involving the sale or issuance of UAL common stock may increase the possibility that the Company will experience a future "ownership change" under Section 382. Such transactions may include the conversion of any future convertible debt, the repurchase of any debt with the Company's common stock, the acquisition or disposition of any stock by a stockholder owning 5% or more of the outstanding shares of UAL common stock, or a combination of the foregoing.</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established a tax benefits preservation plan (the "Plan") in order to preserve the Company's ability to use its NOLs and certain other tax attributes to reduce potential future income tax obligations, which expires December 4, 2026. The Plan is designed to reduce the likelihood that the Company experiences an "ownership change" by deterring certain acquisitions of Company securities. There is no assurance, however, that the deterrent mechanism in the Plan will be effective, and such acquisitions may still occur. In addition, the Plan may adversely affect the marketability of UAL common stock by discouraging existing or potential investors from acquiring UAL common stock or additional shares of UAL common stock because any non-exempt third party that acquires 4.9% or more of the then-outstanding shares of UAL common stock would suffer substantial dilution of its ownership interest in the Company.</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never realize the full value of its intangible assets or its long-lived assets causing it to record impairments that may negatively affect its financial condition and operating results.</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applicable accounting standards, the Company is required to test its indefinite-lived intangible assets for impairment on an annual basis, or more frequently where there is an indication of impairment, and certain of its other assets for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impairment where there is any indication that an asset may be impaired. The Company may be required to recognize losses in the future due to, among other factors, extreme fuel price volatility, tight credit markets, government regulatory changes, decline in the fair values of certain tangible or intangible assets, such as our aircraft, route authorities, airport slots and frequent flyer database, unfavorable trends in historical or forecasted results of operations and cash flows and an uncertain economic environment, as well as other uncertainties. The Company can provide no assurance that a material impairment loss of tangible or intangible assets will not occur in a future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significantly.</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closing price for our common stock has varied between a high of $116.02 and a low of $56.15 in the year ended December 31, 2025. Volatility in the market price of our common stock may prevent holders from selling shares at or above the prices paid for them. The market price of our common stock could fluctuate significantly for various reasons which include: changes in the prices or availability of oil or jet fuel; our quarterly or annual earnings or those of other companies in our industry; changes in our earnings or recommendations by research analysts who track our common stock or the stock of other airlines; the public's reaction to our press releases, our other public announcements and our filings with the SEC; changes in the competitive landscape for the airline industry, including any changes resulting from industry consolidation whether or not involving the Company; an accident, catastrophe or incident involving an aircraft that the Company operates; mandatory grounding of an aircraft that the Company operates; changes in general conditions in the United States and global economies, financial markets or airline industries, including those resulting from changes in fuel prices or fuel shortages, war, incidents of terrorism, pandemics, geopolitical conflicts or responses to such events; our liquidity position; the sale of substantial amounts of our common stock; and the other risks described in these "Risk Factors."</w:t>
      </w:r>
    </w:p>
    <w:p>
      <w:pPr>
        <w:spacing w:after="0" w:line="13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operating results fluctuate due to seasonality and other factors associated with the airline industry, many of which are beyond the Company's control.</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Due to greater demand for air travel during the spring and summer months, revenues in the airline industry in the second and third quarters of the year are generally stronger than revenues in the first and fourth quarters of the year, which are periods of lower travel demand. The Company's operating results have historically reflected this seasonality and have also been impacted by numerous other factors that are not necessarily seasonal, including, among others, extreme or severe weather, outbreaks of disease, public health issues (such as the COVID-19 pandemic) and associated government restrictions and regulations, ATC congestion, geological events, political instability, terrorism, natural disasters, changes in the competitive environment due to industry consolidation, tax obligations, general economic conditions and other factors, as well as related consumer perceptions. Such factors have adversely affected, and could in the future continue to adversely affect, the Company. As a result, the Company's quarterly operating results are not necessarily indicative of operating results for an entire year and historical operating results in a quarterly or annual period are not necessarily indicative of future operating results.</w:t>
      </w:r>
    </w:p>
    <w:p>
      <w:pPr>
        <w:spacing w:after="0" w:line="13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insurance costs or inadequate insurance coverage may materially and adversely impact our business, operating results and financial condition.</w:t>
      </w:r>
    </w:p>
    <w:p>
      <w:pPr>
        <w:spacing w:after="0" w:line="10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maintains insurance policies, including, but not limited to, terrorism, aviation hull and liability, workers' compensation and property and business interruption insurance, but we are not fully insured against all potential hazards and risks incident to our business. If the Company is unable to obtain sufficient insurance with acceptable terms, the costs of such insurance increase materially, or if the coverage obtained is unable to pay or is insufficient relative to actual liability or losses that the Company experiences, whether due to insurance market conditions, policy limitations and exclusions or otherwise, our business, operating results and financial condition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enhance long-term stockholder value.</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As part of our capital deployment program, in the fourth quarter of 2024, the Board authorized a share repurchase program. The Company believes the price of its stock should reflect expectations that the share repurchase program will be fully consummated. However, the program does not obligate us to purchase any specific dollar amount or to acquire any specific number of shares of UAL common stock. The specific timing and amount of any share purchases will depend on the capital needs of the business, the market price of UAL common stock, general market conditions, securities law limitations and other factors. Our future repurchases of UAL common stock, if any, may be limited, suspended or discontinued at any time at our discretion and without prior notice, which could adversely affect our stock price. We, therefore, cannot guarantee that the share repurchase program will enhance long-term stockholder value.</w:t>
      </w:r>
    </w:p>
    <w:p>
      <w:pPr>
        <w:spacing w:after="0" w:line="13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Management Oversight of Cybersecurity Risks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considers management of cybersecurity and digital risk as essential for enabling its success. The Audit Committee (the "Audit Committee") of the Board provides oversight of the Company's risk assessment and risk management policies and strategies with respect to significant business risks, including cybersecurity and digital risk. On a regular basis, the Audit Committee reviews reports from the Company's Chief Information Security Officer ("CISO")—as well as its Chief Information Officer, Chief Risk Officer, Chief Legal Officer and Chief Compliance Officer—regarding the Company's processes for assessing, identifying and managing of cybersecurity risks, including when applicable, notable cybersecurity threats or incidents impacting the aviation sector and the Company; results of independent third-party assessments of the Company's cybersecurity program; key metrics, capabilities, resourcing and strategy regarding the Company's cybersecurity program; and updates related to cybersecurity regulatory developments. The Chair of the Audit Committee regularly reports its activities—including those related to cybersecurity risks—to the Board and, as necessary, recommends actions to the Board that the Audit Committee deems appropriate.</w:t>
      </w:r>
    </w:p>
    <w:p>
      <w:pPr>
        <w:spacing w:after="0" w:line="1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CISO leads the Company's Cybersecurity and Digital Risk ("CDR") organization, which oversees the Company's approach to prevent, detect, mitigate and remediate cybersecurity and digital risk. The Company's current CISO has extensive technology and risk management experience in critical infrastructure sectors, including aviation, and is certified as a boardroom Qualified Technology Expert by the Digital Directors Network. She has served on the U.S. President's National Infrastructure Advisory Council, examining and providing recommendations related to cross-sector critical infrastructure security and resilience. She currently serves on the board of directors of the Internet Security Alliance, is currently a member of the Cybersecurity Council at Airlines for America (and has served as its Chair) and is currently a member of the board of directors of the Aviation Information Sharing and Analysis Center (A-ISAC). The Company's CDR organization includes teams focusing on cyber defense, identity and digital trust, secure product solutions and aircraft cybersecurity operations. These teams include individuals with a variety of cybersecurity expertise, including expertise in penetration testing; application cybersecurity; product cybersecurity; cloud cybersecurity; infrastructure cybersecurity; cybersecurity engineering and architecture; identity and access management; vulnerability and asset management; cybersecurity threat intelligence; cybersecurity regulatory compliance; digital fraud; digital trust; incident response; insider threat assessment; and aircraft cybersecurity.</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senior leadership—including across the Company's safety, legal, government affairs, operations, aviation security, finance, communications and digital technology organizations as well as others when appropriate—support the CDR organization and contribute to the management of cybersecurity and digital risk by attending regular cybersecurity risk reviews and participating in cybersecurity exercises.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Managing cybersecurity and digital risk is a significant part of the Company's overall strategy for safely operating its business. The Company has developed a risk-based cybersecurity and digital risk management strategy. This risk-based strategy is informed by guiding principles from industry standard cybersecurity and risk management frameworks—such as those published by the National Institute of Standards and Technology—and industry-recognized practices to protect the confidentiality, integrity and availability of the Company's information technology systems and data. The Company is also subject to extensive cybersecurity regulation, including but not limited to those regulations overseen by the FAA, TSA, and DOT. This risk-based framework is also integrated into the Company's Enterprise Risk Management ("ERM") process that is subject to oversight by the Board. Cybersecurity risks are one of the key risks regularly evaluated, assessed and monitored as part of the Company's overall ERM process.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part of its risk-based strategy, the Company maintains appropriate technical and organizational measures and regularly reviews the appropriateness of those controls based on changes to the technical or regulatory environment to protect as well as minimize threats to the Company's information; the information of the Company's customers, suppliers and other third parties; the Company's information systems; the Company's business operations; and the Company's services. The Company also regularly incorporates cybersecurity awareness training into employee communications, engagement and training activities. The Company participates in various information-sharing organizations to timely share and receive threat information, thereby improving the collective defense of the aviation, retail and hospitality and other critical infrastructure sectors. The Company regularly seeks opportunities to improve its capabilities, including through cybersecurity trainings and skill-development programs for its CDR organization members.</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utilizes a variety of third parties, as appropriate, in connection with its cybersecurity risk management. The Company employs these third-party cybersecurity companies to add capacity or expertise when necessary. Additionally, internal audits, security maturity assessments, security attestations and certifications, security testing and post-remediation reviews of the Company's cybersecurity program are periodically conducted by independent third-party service provides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identify areas of potential weakness and for continued improvement as well as to ensure ongoing compliance with regulatory requirements to which we are subject. In addition, the Company actively engages with intelligence agencies, law enforcement and advocacy and industry groups.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cybersecurity risks related to its business partners and third-party service providers, as further detailed under the heading "Increasing privacy, data security and cybersecurity obligations or a significant data breach may adversely affect the Company's business" included as part of the risk factor disclosures in Part I, Item 1A. of this report. To assess these risks, the Company considers the impact of third-party incidents as part of its cybersecurity incident response processes. The Company also conducts evaluations of key suppliers based on risk and seeks to incorporate appropriate security standards to address the risk. In addition, the Company regularly monitors the external cybersecurity posture of select third parties through various service providers.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strives to design and implement technical and organizational controls comprehensively, consistently and effectively as intended to protect the confidentiality, integrity or availability of systems and data. However, because the Company utilizes a risk-based strategy, based on professional judgment and analysis of the risks, it is possible that the Company may underappreciate or not recognize specific risks and may fail to fully implement the necessary technical and organizational controls. Moreover, even well designed and implemented security controls may not eliminate the occurrence of cybersecurity incidents.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 Management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CDR organization monitors the Company's information systems to prevent, detect, mitigate and remediate cybersecurity threats. The CDR organization uses a variety of prevention and detection tools and other resources to monitor cybersecurity vulnerabilities and identify potential cybersecurity incidents. When a cybersecurity incident is identified, the CDR organization's incident response team engages with the appropriate subject matter experts, the relevant management of impacted organization(s) and others to analyze, contain, eradicate, mitigate and recover from the incident as applicable. When appropriate, during the incident response process, the CISO, the CDR organization's leadership and the Company's Chief Legal Officer may be informed and consulted and if deemed necessary, incidents may be escalated for review by the Senior Leader Crisis Team, which consists of cross-functional leaders of the Company. The Company maintains a process in which a subgroup of the Company's Disclosure Council makes a recommendation regarding the materiality of certain cybersecurity incidents to the full Disclosure Council and, if determined to be material, subsequently to the Audit Committee. Additionally, the CDR organization has frequent operating rhythms to, among other things, review cybersecurity incidents and track the progress of cybersecurity initiatives.</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faces risks from network disruptions, cybersecurity threats (including as a result of any cybersecurity incident) and other efforts to compromise its services and underlying infrastructure that could have a material adverse effect on or are reasonably likely to materially adversely affect— individually or in the aggregate—its business strategy, results of operations, financial condition, cash flows or reputation. To the Company's knowledge, based on information available as of December 31, 2025 and through the date of this filing, such risks did not have a material adverse effect on the Company in the last three fiscal years. However, from time to time the Company has experienced and expects to continue to face increasing cybersecurity risks as well as potential network disruptions—whether directly or through its supply chain or other channels—in the normal course of its business. For more information about the cybersecurity-related risks that the Company faces, see the risks detailed under the headings "The Company relies heavily on technology and automated systems to operate its business and any significant failure or disruption of, or failure to effectively integrate and implement, these technologies or systems could materially harm its business or business strategy" and "Increasing privacy, data security and cybersecurity obligations or a significant data breach may adversely affect the Company's business" included as part of the Company's risk factor disclosures in Part I, Item 1A. of this Form 10-K.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Fleet. </w:t>
      </w:r>
      <w:r>
        <w:rPr>
          <w:rFonts w:ascii="Times New Roman" w:cs="Times New Roman" w:eastAsia="Times New Roman" w:hAnsi="Times New Roman"/>
          <w:sz w:val="18"/>
          <w:szCs w:val="18"/>
          <w:color w:val="auto"/>
        </w:rPr>
        <w:t>As of December 31, 2025, United's mainline and regional fleets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72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6"/>
                <w:szCs w:val="16"/>
                <w:b w:val="1"/>
                <w:bCs w:val="1"/>
                <w:color w:val="auto"/>
              </w:rPr>
              <w:t>Aircraft Type</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8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Leased</w:t>
            </w: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Seats in Standard</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Average Age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Configuration</w:t>
            </w: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tcPr>
          <w:p>
            <w:pPr>
              <w:spacing w:after="0"/>
              <w:rPr>
                <w:sz w:val="14"/>
                <w:szCs w:val="14"/>
                <w:color w:val="auto"/>
              </w:rPr>
            </w:pPr>
          </w:p>
        </w:tc>
        <w:tc>
          <w:tcPr>
            <w:tcW w:w="5300" w:type="dxa"/>
            <w:vAlign w:val="bottom"/>
            <w:tcBorders>
              <w:top w:val="single" w:sz="8" w:color="auto"/>
            </w:tcBorders>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Mainline:</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777-300ER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777-200ER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276-362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777-200</w:t>
            </w:r>
          </w:p>
        </w:tc>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787-10</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787-9</w:t>
            </w:r>
          </w:p>
        </w:tc>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787-8</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767-400ER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767-300ER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167-203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757-300</w:t>
            </w:r>
          </w:p>
        </w:tc>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757-200</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737 MAX 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737 MAX 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737-900ER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737-900</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737-800</w:t>
            </w:r>
          </w:p>
        </w:tc>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737-700</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A321neo</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A320-200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A319-100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Total mainline</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bl>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Aircraft Type</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Owned or Leased by</w:t>
            </w:r>
          </w:p>
        </w:tc>
        <w:tc>
          <w:tcPr>
            <w:tcW w:w="1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Regional Carrier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7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Seats in Standard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Regional Carrier</w:t>
            </w:r>
          </w:p>
        </w:tc>
        <w:tc>
          <w:tcPr>
            <w:tcW w:w="100" w:type="dxa"/>
            <w:vAlign w:val="bottom"/>
          </w:tcPr>
          <w:p>
            <w:pPr>
              <w:spacing w:after="0"/>
              <w:rPr>
                <w:sz w:val="18"/>
                <w:szCs w:val="18"/>
                <w:color w:val="auto"/>
              </w:rPr>
            </w:pP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Operator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Aircraft</w:t>
            </w:r>
          </w:p>
        </w:tc>
        <w:tc>
          <w:tcPr>
            <w:tcW w:w="17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Configuration</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9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E175</w:t>
            </w: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SkyWest</w:t>
            </w:r>
          </w:p>
        </w:tc>
        <w:tc>
          <w:tcPr>
            <w:tcW w:w="1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70/76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Mesa</w:t>
            </w:r>
          </w:p>
        </w:tc>
        <w:tc>
          <w:tcPr>
            <w:tcW w:w="1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Republic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E170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Republic</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CRJ700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SkyWest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CRJ550</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4"/>
                <w:szCs w:val="14"/>
                <w:color w:val="auto"/>
              </w:rPr>
            </w:pPr>
          </w:p>
        </w:tc>
        <w:tc>
          <w:tcPr>
            <w:tcW w:w="18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4"/>
                <w:szCs w:val="14"/>
                <w:color w:val="auto"/>
              </w:rPr>
            </w:pPr>
          </w:p>
        </w:tc>
        <w:tc>
          <w:tcPr>
            <w:tcW w:w="154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GoJet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4"/>
                <w:szCs w:val="14"/>
                <w:color w:val="auto"/>
              </w:rPr>
            </w:pPr>
          </w:p>
        </w:tc>
        <w:tc>
          <w:tcPr>
            <w:tcW w:w="17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SkyWest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CRJ200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SkyWest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ERJ145XR</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CommuteAir</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regional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aircraft presented in the table above, United owned the following regional aircraft as of December 31, 2025:</w:t>
      </w:r>
    </w:p>
    <w:p>
      <w:pPr>
        <w:spacing w:after="0" w:line="104"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ERJ145XRs that are temporarily grounded; and</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CRJ700s awaiting conversion to CRJ550s.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Firm Order and Option Aircraft. </w:t>
      </w:r>
      <w:r>
        <w:rPr>
          <w:rFonts w:ascii="Times New Roman" w:cs="Times New Roman" w:eastAsia="Times New Roman" w:hAnsi="Times New Roman"/>
          <w:sz w:val="18"/>
          <w:szCs w:val="18"/>
          <w:color w:val="auto"/>
        </w:rPr>
        <w:t>As of December 31, 2025, United had firm commitments to purchase aircraft from Boeing and Airbus presented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table below:</w:t>
      </w: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Contractual Aircraft Deliveries</w:t>
            </w:r>
          </w:p>
        </w:tc>
        <w:tc>
          <w:tcPr>
            <w:tcW w:w="80" w:type="dxa"/>
            <w:vAlign w:val="bottom"/>
          </w:tcPr>
          <w:p>
            <w:pPr>
              <w:spacing w:after="0"/>
              <w:rPr>
                <w:sz w:val="20"/>
                <w:szCs w:val="20"/>
                <w:color w:val="auto"/>
              </w:rPr>
            </w:pPr>
          </w:p>
        </w:tc>
        <w:tc>
          <w:tcPr>
            <w:tcW w:w="370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Expected Aircraft Deliveries (b)</w:t>
            </w:r>
          </w:p>
        </w:tc>
        <w:tc>
          <w:tcPr>
            <w:tcW w:w="0" w:type="dxa"/>
            <w:vAlign w:val="bottom"/>
          </w:tcPr>
          <w:p>
            <w:pPr>
              <w:spacing w:after="0"/>
              <w:rPr>
                <w:sz w:val="1"/>
                <w:szCs w:val="1"/>
                <w:color w:val="auto"/>
              </w:rPr>
            </w:pPr>
          </w:p>
        </w:tc>
      </w:tr>
      <w:tr>
        <w:trPr>
          <w:trHeight w:val="174"/>
        </w:trPr>
        <w:tc>
          <w:tcPr>
            <w:tcW w:w="1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 Type</w:t>
            </w:r>
          </w:p>
        </w:tc>
        <w:tc>
          <w:tcPr>
            <w:tcW w:w="1920" w:type="dxa"/>
            <w:vAlign w:val="bottom"/>
          </w:tcPr>
          <w:p>
            <w:pPr>
              <w:ind w:left="320"/>
              <w:spacing w:after="0" w:line="174" w:lineRule="exact"/>
              <w:rPr>
                <w:sz w:val="20"/>
                <w:szCs w:val="20"/>
                <w:color w:val="auto"/>
              </w:rPr>
            </w:pPr>
            <w:r>
              <w:rPr>
                <w:rFonts w:ascii="Times New Roman" w:cs="Times New Roman" w:eastAsia="Times New Roman" w:hAnsi="Times New Roman"/>
                <w:sz w:val="18"/>
                <w:szCs w:val="18"/>
                <w:b w:val="1"/>
                <w:bCs w:val="1"/>
                <w:color w:val="auto"/>
              </w:rPr>
              <w:t>Number of Firm</w:t>
            </w:r>
          </w:p>
        </w:tc>
        <w:tc>
          <w:tcPr>
            <w:tcW w:w="100" w:type="dxa"/>
            <w:vAlign w:val="bottom"/>
          </w:tcPr>
          <w:p>
            <w:pPr>
              <w:spacing w:after="0"/>
              <w:rPr>
                <w:sz w:val="15"/>
                <w:szCs w:val="15"/>
                <w:color w:val="auto"/>
              </w:rPr>
            </w:pPr>
          </w:p>
        </w:tc>
        <w:tc>
          <w:tcPr>
            <w:tcW w:w="11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11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15"/>
                <w:szCs w:val="15"/>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After 2027</w:t>
            </w:r>
          </w:p>
        </w:tc>
        <w:tc>
          <w:tcPr>
            <w:tcW w:w="11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5"/>
                <w:szCs w:val="15"/>
                <w:color w:val="auto"/>
              </w:rPr>
            </w:pPr>
          </w:p>
        </w:tc>
        <w:tc>
          <w:tcPr>
            <w:tcW w:w="11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Pr>
          <w:p>
            <w:pPr>
              <w:spacing w:after="0"/>
              <w:rPr>
                <w:sz w:val="15"/>
                <w:szCs w:val="15"/>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After 2027</w:t>
            </w:r>
          </w:p>
        </w:tc>
        <w:tc>
          <w:tcPr>
            <w:tcW w:w="0" w:type="dxa"/>
            <w:vAlign w:val="bottom"/>
          </w:tcPr>
          <w:p>
            <w:pPr>
              <w:spacing w:after="0"/>
              <w:rPr>
                <w:sz w:val="1"/>
                <w:szCs w:val="1"/>
                <w:color w:val="auto"/>
              </w:rPr>
            </w:pPr>
          </w:p>
        </w:tc>
      </w:tr>
      <w:tr>
        <w:trPr>
          <w:trHeight w:val="238"/>
        </w:trPr>
        <w:tc>
          <w:tcPr>
            <w:tcW w:w="1600" w:type="dxa"/>
            <w:vAlign w:val="bottom"/>
            <w:gridSpan w:val="2"/>
            <w:vMerge w:val="continue"/>
          </w:tcPr>
          <w:p>
            <w:pPr>
              <w:spacing w:after="0"/>
              <w:rPr>
                <w:sz w:val="20"/>
                <w:szCs w:val="20"/>
                <w:color w:val="auto"/>
              </w:rPr>
            </w:pP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Commitments (a)</w:t>
            </w: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737 MAX 9</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737 MAX 10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A321neo</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A321XLR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A350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-2540</wp:posOffset>
            </wp:positionV>
            <wp:extent cx="7012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ind w:left="320" w:hanging="20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also has options and purchase rights for additional aircraft.</w:t>
      </w:r>
    </w:p>
    <w:p>
      <w:pPr>
        <w:spacing w:after="0" w:line="40" w:lineRule="exact"/>
        <w:rPr>
          <w:rFonts w:ascii="Times New Roman" w:cs="Times New Roman" w:eastAsia="Times New Roman" w:hAnsi="Times New Roman"/>
          <w:sz w:val="14"/>
          <w:szCs w:val="14"/>
          <w:color w:val="auto"/>
        </w:rPr>
      </w:pPr>
    </w:p>
    <w:p>
      <w:pPr>
        <w:ind w:left="320" w:hanging="20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aircraft deliveries reflect adjustments communicated by Boeing and Airbus or estimated by United.</w:t>
      </w:r>
    </w:p>
    <w:p>
      <w:pPr>
        <w:spacing w:after="0" w:line="2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aircraft listed in the table above are scheduled for delivery through 2034. The amount and timing of the Company's future capital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the financial statements included in Part II, Item 8 of this report for additional information.</w:t>
      </w:r>
    </w:p>
    <w:p>
      <w:pPr>
        <w:spacing w:after="0" w:line="16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Facilities. </w:t>
      </w:r>
      <w:r>
        <w:rPr>
          <w:rFonts w:ascii="Times New Roman" w:cs="Times New Roman" w:eastAsia="Times New Roman" w:hAnsi="Times New Roman"/>
          <w:sz w:val="18"/>
          <w:szCs w:val="18"/>
          <w:color w:val="auto"/>
        </w:rPr>
        <w:t>United has major terminal facility leases at SFO, IAD, ORD, LAX, DEN, EWR, IAH and GUM. United leases gates, hangar sites, terminal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buildings and other airport facilities in the municipalities it serves with lease expiration dates ranging from 2026 through 2057. Substantially all of these facilities are leased on a net-rental basis, resulting in the Company having financial responsibility for maintenance, insurance and other facility-related expenses and services.</w:t>
      </w:r>
    </w:p>
    <w:p>
      <w:pPr>
        <w:spacing w:after="0" w:line="12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United also maintains administrative, catering, cargo, training, maintenance and other facilities to support its operations in the cities it serves. United's leases for its principal executive office and operations center in downtown Chicago and administrative offices in downtown Houston expire from 2029 through 2033.</w:t>
      </w:r>
    </w:p>
    <w:p>
      <w:pPr>
        <w:spacing w:after="0" w:line="1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involved, both as a plaintiff and a defendant, in various legal proceedings, including, without limitation, litigation, arbitration and other claims, and investigations, inspections, subpoenas, audits, inquiries and similar actions involving its passengers, customers, suppliers, employees and stockholders, as well as government agencies, among others, arising in the ordinary course of business and that have not been fully resolved. Legal proceedings, in general, and securities, class action and multi-district litigation, in particular, can be expensive and disruptive. Some of these suits may purport or may be determined to be class actions and/or involve parties seeking large and/or indeterminate amounts, including punitive or exemplary damages, and may remain unresolved for several years. Additionally, from time to time, the Company becomes aware of potential non-compliance with applicable environmental regulations, which have either been identified by the Company (through internal compliance programs such as its environmental compliance audits) or through notice from a governmental entity. In some instances, these matters could potentially become the subject of an administrative or judicial proceeding and could potentially involve monetary sanctions.</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Management believes, after considering a number of factors, including (but not limited to) the information currently available, the views of legal counsel, the nature of contingencies to which the Company is subject and prior experience, that its defenses and assertions in pending legal proceedings have merit and, except as otherwise specifically noted below, the ultimate disposition of any pending matter will not materially affect the Company's financial position, results of operations or cash flows. However, the ultimate resolutions of the Company's legal proceedings and other contingencies are inherently unpredictable and subject to significant uncertainties. There can be no assurance that there will not be an increase in the scope of one or more of these pending matters or any other or future lawsuits, claims, government investigations or other legal proceedings will not be material to the Company's financial position, results of operations or cash flows for a particular period. As such, the Company's financial condition and results of operations could be adversely affected in any particular period by the unfavorable resolution of one or more of these matters.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Antitrust Litigation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June 30, 2015, UAL received a Civil Investigative Demand ("CID") from the Antitrust Division of the DOJ seeking documents and information from the Company in connection with a DOJ investigation related to statements and decisions about airline capacity. The Company has completed its response to the CID. Beginning on July 1, 2015, subsequent to the announcement of the CID, UAL and United were named as defendants in multiple class action lawsuits that asserted claims under the Sherman Antitrust Act, which have been consolidated in the United States District Court for the District of Columbia. The complaints generally allege collusion among U.S. airlines on capacity impacting airfares and seek treble damages. The Company is vigorously defending against the class action lawsuits.</w:t>
      </w: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840" w:right="240" w:hanging="1295"/>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UAL's common stock is listed on the Nasdaq Global Select Market ("Nasdaq") under the symbol "UAL."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5, 2026, there were 4,218 holders of record of UAL common stock.</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number of record holders is based upon the actual number of holders registered on our books at such date based on information provided by Computershare Investor Services, our transfer agent, and does not include holders of shares in "street name" or other holders identified in security position listings maintained by depository trust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There were no cash dividend payments during the year ended December 31, 2025 and we do not expect to pay cash dividends in the foreseeable future. Future decisions to pay cash dividends continue to be at the discretion of the Board and will be dependent on our profitability expectations, net income, operating performance, financial condition, capital expenditure requirements and other factors that the Board considers relevant.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the Company's repurchases of UAL common stock during the quarter ended December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Maximum number (or</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 (or</w:t>
            </w:r>
          </w:p>
        </w:tc>
        <w:tc>
          <w:tcPr>
            <w:tcW w:w="100" w:type="dxa"/>
            <w:vAlign w:val="bottom"/>
          </w:tcPr>
          <w:p>
            <w:pPr>
              <w:spacing w:after="0"/>
              <w:rPr>
                <w:sz w:val="15"/>
                <w:szCs w:val="15"/>
                <w:color w:val="auto"/>
              </w:rPr>
            </w:pPr>
          </w:p>
        </w:tc>
        <w:tc>
          <w:tcPr>
            <w:tcW w:w="22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(or units) that may</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units) purchased as part of</w:t>
            </w:r>
          </w:p>
        </w:tc>
        <w:tc>
          <w:tcPr>
            <w:tcW w:w="100" w:type="dxa"/>
            <w:vAlign w:val="bottom"/>
          </w:tcPr>
          <w:p>
            <w:pPr>
              <w:spacing w:after="0"/>
              <w:rPr>
                <w:sz w:val="15"/>
                <w:szCs w:val="15"/>
                <w:color w:val="auto"/>
              </w:rPr>
            </w:pPr>
          </w:p>
        </w:tc>
        <w:tc>
          <w:tcPr>
            <w:tcW w:w="22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 under the</w:t>
            </w:r>
          </w:p>
        </w:tc>
        <w:tc>
          <w:tcPr>
            <w:tcW w:w="0" w:type="dxa"/>
            <w:vAlign w:val="bottom"/>
          </w:tcPr>
          <w:p>
            <w:pPr>
              <w:spacing w:after="0"/>
              <w:rPr>
                <w:sz w:val="1"/>
                <w:szCs w:val="1"/>
                <w:color w:val="auto"/>
              </w:rPr>
            </w:pPr>
          </w:p>
        </w:tc>
      </w:tr>
      <w:tr>
        <w:trPr>
          <w:trHeight w:val="175"/>
        </w:trPr>
        <w:tc>
          <w:tcPr>
            <w:tcW w:w="21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Total number of shares (or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 plans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43"/>
        </w:trPr>
        <w:tc>
          <w:tcPr>
            <w:tcW w:w="2100" w:type="dxa"/>
            <w:vAlign w:val="bottom"/>
            <w:gridSpan w:val="2"/>
            <w:vMerge w:val="continue"/>
          </w:tcPr>
          <w:p>
            <w:pPr>
              <w:spacing w:after="0"/>
              <w:rPr>
                <w:sz w:val="21"/>
                <w:szCs w:val="2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purchased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 (or unit)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1 - 30</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left="20" w:right="20" w:firstLine="6"/>
        <w:spacing w:after="0" w:line="224"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15, 2024, the Company announced that its Board authorized a new share repurchase program with no stated expiration, allowing for purchases of up to $1.5 billion in the aggregate of outstanding UAL common stock and Warrants, subject to a limit of $500 million in the aggregate through 2024. As of February 5, 2026, the dollar value of the shares that may yet be purchased under the program is approximately $0.8 billion. See Note 3 to the financial statements included in Part II, Item 8 of this report for additional information on the share repurchase program.</w:t>
      </w:r>
    </w:p>
    <w:p>
      <w:pPr>
        <w:spacing w:after="0" w:line="1"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is calculated on a settlement basis and excludes commission and taxes.</w:t>
      </w: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 and Use of Proceeds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did not sell any securities that were not registered under the Securities Act during the period covered by this report that have not been previously disclosed on a Form 10-Q or Form 8-K.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during the period from December 31, 2020 to December 31, 2025 of UAL common stock to the Standard and Poor's 500 Index ("SPX") and the NYSE Arca Airline Index ("XAL"). The comparison assumes $100 was invested on December 31, 2020 in UAL common stock and in each of the foregoing indices and assumes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88900</wp:posOffset>
            </wp:positionV>
            <wp:extent cx="5863590" cy="27603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Note: </w:t>
      </w:r>
      <w:r>
        <w:rPr>
          <w:rFonts w:ascii="Times New Roman" w:cs="Times New Roman" w:eastAsia="Times New Roman" w:hAnsi="Times New Roman"/>
          <w:sz w:val="14"/>
          <w:szCs w:val="14"/>
          <w:color w:val="auto"/>
        </w:rPr>
        <w:t>The stock price performance shown in the graph above should not be considered indicative of potential future stock price performance. The foregoing performance graph is being furnished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part of this report solely in accordance with the requirement under Rule 14a-3(b)(9) to furnish our stockholders with such information, and therefore, shall not be deemed to be filed or incorporated by reference into any filings by the Company under the Securities Act or the Exchange Act.</w:t>
      </w:r>
    </w:p>
    <w:p>
      <w:pPr>
        <w:spacing w:after="0" w:line="1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and should be read in conjunction with the consolidated financial statements and related notes included elsewhere in this Form 10-K and the description of our business and reportable segments in Part I, Item 1. Business of this Form 10-K to enhance the understanding of our results of operations, financial condition and cash flows.</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section generally discusses 2025 and 2024 items and year-to-year comparisons between 2025 and 2024. Discussions of 2023 items and year-to-year comparisons between 2024 and 2023 are not included in this Form 10-K and can be found in "Management's Discussion and Analysis of Financial Condition and Results of Operations" in Part II, Item 7 of the Company's 2024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and its wholly-owned subsidiary is United Airlines, Inc. (together with its consolidated subsidiaries, "United").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current expectations described below are forward-looking statements and our actual results and timing may vary materially based on various factors that include, but are not limited to, those discussed below under "Strategy," "Economic and Market Factors," "Governmental Actions," "Cautionary Statement Regarding Forward-Looking Statements" and in Part I, Item 1A. Risk Factors, of this Form 10-K. The results presented in this report are not necessarily indicative of future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shared purpose is "Connecting People. Uniting the World." We have the most comprehensive route network among North American carriers, including U.S. mainland hubs in Chicago, Denver, Houston, Los Angeles, New York/Newark, San Francisco and Washington, D.C.</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the largest airline measured by available seat miles in the world, helping to connect around 181 million passengers to more than 380 destinations across six continents. The Company remains focused on delivering on four strategic pillars, which it believes has helped, and will continue, to differentiate United from the rest of the industry:</w:t>
      </w:r>
    </w:p>
    <w:p>
      <w:pPr>
        <w:spacing w:after="0" w:line="122" w:lineRule="exact"/>
        <w:rPr>
          <w:sz w:val="20"/>
          <w:szCs w:val="20"/>
          <w:color w:val="auto"/>
        </w:rPr>
      </w:pPr>
    </w:p>
    <w:p>
      <w:pPr>
        <w:ind w:left="660" w:hanging="328"/>
        <w:spacing w:after="0" w:line="25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Next:</w:t>
      </w:r>
      <w:r>
        <w:rPr>
          <w:rFonts w:ascii="Times New Roman" w:cs="Times New Roman" w:eastAsia="Times New Roman" w:hAnsi="Times New Roman"/>
          <w:sz w:val="18"/>
          <w:szCs w:val="18"/>
          <w:color w:val="auto"/>
        </w:rPr>
        <w:t xml:space="preserve"> In 2025 we continued to make progress with our United Next plan to align our network and product with the potential of our hubs while remaining focused on protecting the safety of our employees and customers and providing a superior customer experience. United Next aims to increase customer choice and win brand-loyal customers by offering a diversity of products ranging from Basic Economy to Polaris and growing our leading global network, which the Company expects will lead to diverse revenue streams for the Company. As part of our United Next growth plan, we expect to take delivery of over 630 new narrow- and widebody aircraft by the end of 2034. The new aircraft that the Company has taken delivery of to date have increased our gauge, scale, and connectivity, as well as improved the Company's fuel efficiency. Other key highlights of our United Next plan include:</w:t>
      </w:r>
    </w:p>
    <w:p>
      <w:pPr>
        <w:spacing w:after="0" w:line="134"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increasing our employee headcount by more than 38,000 employees since 2020;</w:t>
      </w:r>
    </w:p>
    <w:p>
      <w:pPr>
        <w:spacing w:after="0" w:line="171" w:lineRule="exact"/>
        <w:rPr>
          <w:rFonts w:ascii="Times New Roman" w:cs="Times New Roman" w:eastAsia="Times New Roman" w:hAnsi="Times New Roman"/>
          <w:sz w:val="18"/>
          <w:szCs w:val="18"/>
          <w:color w:val="auto"/>
        </w:rPr>
      </w:pPr>
    </w:p>
    <w:p>
      <w:pPr>
        <w:ind w:left="1300" w:right="3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surpassing 530 new and retrofit aircraft featuring our signature interior with bigger bins, seatback screens at every seat and Bluetooth connectivity;</w:t>
      </w:r>
    </w:p>
    <w:p>
      <w:pPr>
        <w:spacing w:after="0" w:line="107" w:lineRule="exact"/>
        <w:rPr>
          <w:rFonts w:ascii="Times New Roman" w:cs="Times New Roman" w:eastAsia="Times New Roman" w:hAnsi="Times New Roman"/>
          <w:sz w:val="18"/>
          <w:szCs w:val="18"/>
          <w:color w:val="auto"/>
        </w:rPr>
      </w:pPr>
    </w:p>
    <w:p>
      <w:pPr>
        <w:ind w:left="1300" w:right="2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expanding our leading global network to destinations like Nuuk, Greenland; Ulaanbaatar, Mongolia; Faro, Portugal; Puerto Escondido, Mexico; Palermo, Italy; Bilbao, Spain; and Madeira Island, Portugal;</w:t>
      </w:r>
    </w:p>
    <w:p>
      <w:pPr>
        <w:spacing w:after="0" w:line="104" w:lineRule="exact"/>
        <w:rPr>
          <w:rFonts w:ascii="Times New Roman" w:cs="Times New Roman" w:eastAsia="Times New Roman" w:hAnsi="Times New Roman"/>
          <w:sz w:val="18"/>
          <w:szCs w:val="18"/>
          <w:color w:val="auto"/>
        </w:rPr>
      </w:pPr>
    </w:p>
    <w:p>
      <w:pPr>
        <w:ind w:left="1300" w:right="460" w:hanging="324"/>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launching Kinective Media</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first media network that uses insights from travel behaviors to connect customers to personalized advertising, experiences and offers from leading brands);</w:t>
      </w:r>
    </w:p>
    <w:p>
      <w:pPr>
        <w:spacing w:after="0" w:line="145" w:lineRule="exact"/>
        <w:rPr>
          <w:rFonts w:ascii="Times New Roman" w:cs="Times New Roman" w:eastAsia="Times New Roman" w:hAnsi="Times New Roman"/>
          <w:sz w:val="18"/>
          <w:szCs w:val="18"/>
          <w:color w:val="auto"/>
        </w:rPr>
      </w:pPr>
    </w:p>
    <w:p>
      <w:pPr>
        <w:ind w:left="130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bringing Starlink's Wi-Fi service (the world's fastest, most reliable Wi-Fi in the sky) to our United Express regional aircraft and beginning installation on our mainline aircraft; and</w:t>
      </w:r>
    </w:p>
    <w:p>
      <w:pPr>
        <w:spacing w:after="0" w:line="10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making significant technology changes that empower our employees and improve the customer experience.</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Operational excellence:</w:t>
      </w:r>
      <w:r>
        <w:rPr>
          <w:rFonts w:ascii="Times New Roman" w:cs="Times New Roman" w:eastAsia="Times New Roman" w:hAnsi="Times New Roman"/>
          <w:sz w:val="18"/>
          <w:szCs w:val="18"/>
          <w:color w:val="auto"/>
        </w:rPr>
        <w:t xml:space="preserve"> The most important factor for customer satisfaction is on-time flights. We face some unique challenges in this respect because we operate hubs in the most congested and constrained airports in the country. That backdrop means that United needs to be a leader at using technology to overcome these challenges. We have been working strategically to overcome operational challenges and continue to innovate in order to make advancements in this area.</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Pre-tax margin:</w:t>
      </w:r>
      <w:r>
        <w:rPr>
          <w:rFonts w:ascii="Times New Roman" w:cs="Times New Roman" w:eastAsia="Times New Roman" w:hAnsi="Times New Roman"/>
          <w:sz w:val="17"/>
          <w:szCs w:val="17"/>
          <w:color w:val="auto"/>
        </w:rPr>
        <w:t xml:space="preserve"> We believe that best-in-class margin performance will provide the cash flow needed to support our planned investments in growth.</w:t>
      </w:r>
    </w:p>
    <w:p>
      <w:pPr>
        <w:spacing w:after="0" w:line="182" w:lineRule="exact"/>
        <w:rPr>
          <w:rFonts w:ascii="Times New Roman" w:cs="Times New Roman" w:eastAsia="Times New Roman" w:hAnsi="Times New Roman"/>
          <w:sz w:val="17"/>
          <w:szCs w:val="17"/>
          <w:color w:val="auto"/>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service:</w:t>
      </w:r>
      <w:r>
        <w:rPr>
          <w:rFonts w:ascii="Times New Roman" w:cs="Times New Roman" w:eastAsia="Times New Roman" w:hAnsi="Times New Roman"/>
          <w:sz w:val="18"/>
          <w:szCs w:val="18"/>
          <w:color w:val="auto"/>
        </w:rPr>
        <w:t xml:space="preserve"> We believe that excellent customer service is part of de-commoditizing air travel. Our people are our greatest asset and they are by far the most important part of our product. Ultimately our people provide customers with the service they expect.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Market Factors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remain vulnerable to a number of industry-specific and global macroeconomic factors that may cause our actual results of operations to differ from our historical results of operations or current expectations. The economic and market factors and trends that we currently believe are or will be most impactful to our results of operations and financial condition include the following: the execution and effect of our business strategies, including our United Next plan; supply chain constraints and related costs affecting us and our partners; volatile fuel prices; increasing maintenance expenses; and an economic downturn leading to a decrease in demand for air travel or fluctuations in foreign currency exchange rates that may impact international travel demand. We continue to monitor the potential favorable or unfavorable impacts of these and other factors on our business, operations, financial condition, future results of operations, liquidity and financial flexibility, which are dependent on future developments, including as a result of those factors discussed in Part I, Item 1A. Risk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Actions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in complex, highly regulated environments in the U.S., the European Union, the United Kingdom and other regions around the world. Legal requirements that we currently believe are or will be most impactful to our results of operations and financial condition include the following: the closure of our flying airspace and termination of other operations due to regional conflicts; delays in aircraft certification (especially relating to the 737 MAX 10 aircraft); an extended federal government shutdown as well as any other budgetary decisions limiting or delaying government spending or reducing staffing of government agencies with which we interact routinely; any legal requirement that would result in a reshaping of the benefits that we provide to our consumers through our loyalty program or the co-branded credit cards issued by our partner; the effect of any potential changes in trade tariffs that we are unable to mitigate; and certain rules and regulations proposed by the DOT that would impose additional costs and operational restrictions on airlines. The impact of changing and new legal requirements generally cannot be reasonably predicted and those requirements may ultimately require extensive system and operational changes, be difficult to implement, increase our operating costs and require significant capital expenditures.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 financial data and operating statistics are provided in the tables below:</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8"/>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53,717</w:t>
            </w:r>
          </w:p>
        </w:tc>
      </w:tr>
      <w:tr>
        <w:trPr>
          <w:trHeight w:val="21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54,356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49,506</w:t>
            </w:r>
          </w:p>
        </w:tc>
      </w:tr>
      <w:tr>
        <w:trPr>
          <w:trHeight w:val="21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r>
      <w:tr>
        <w:trPr>
          <w:trHeight w:val="21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Nonoperating expense,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1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r>
      <w:tr>
        <w:trPr>
          <w:trHeight w:val="21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Passengers (thousands) (a)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181,053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173,603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164,927</w:t>
            </w: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passenger miles ("RPMs") (millions) (b)</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271,619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258,503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244,435</w:t>
            </w: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 seat miles ("ASMs"or "capacity") (millions) (c)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330,284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311,185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291,333</w:t>
            </w: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Cargo revenue ton miles (millions) (d)</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3,159</w:t>
            </w: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load factor (e)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83.9 %</w:t>
            </w: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Passenger revenue per available seat mile ("PRASM") (cents)</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16.84</w:t>
            </w: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 per available seat mile ("TRASM") (cents)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18.44</w:t>
            </w: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yield per revenue passenger mile ("Yield") (cents) (f)</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20.07</w:t>
            </w: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per available seat mile ("CASM") (cents)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16.99</w:t>
            </w: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per gallon of fuel, including fuel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Fuel gallons consumed (millions)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4,663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4,444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4,205</w:t>
            </w: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stage length (miles) (g)</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1,479</w:t>
            </w:r>
          </w:p>
        </w:tc>
      </w:tr>
      <w:tr>
        <w:trPr>
          <w:trHeight w:val="216"/>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headcount, as of December 31</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113,200</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107,300</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103,300</w:t>
            </w:r>
          </w:p>
        </w:tc>
      </w:tr>
    </w:tbl>
    <w:p>
      <w:pPr>
        <w:ind w:left="340" w:hanging="314"/>
        <w:spacing w:after="0" w:line="231"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revenue passengers measured by each flight segment flown.</w:t>
      </w:r>
    </w:p>
    <w:p>
      <w:pPr>
        <w:ind w:left="340" w:hanging="314"/>
        <w:spacing w:after="0" w:line="201"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scheduled miles flown by revenue passengers.</w:t>
      </w:r>
    </w:p>
    <w:p>
      <w:pPr>
        <w:ind w:left="340" w:hanging="314"/>
        <w:spacing w:after="0" w:line="221"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seats available for passengers multiplied by the number of scheduled miles those seats are flown.</w:t>
      </w:r>
    </w:p>
    <w:p>
      <w:pPr>
        <w:ind w:left="340" w:hanging="314"/>
        <w:spacing w:after="0" w:line="221"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cargo revenue tons transported multiplied by the number of miles flown.</w:t>
      </w:r>
    </w:p>
    <w:p>
      <w:pPr>
        <w:ind w:left="340" w:hanging="314"/>
        <w:spacing w:after="0" w:line="201"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RPMs divided by ASMs.</w:t>
      </w:r>
    </w:p>
    <w:p>
      <w:pPr>
        <w:ind w:left="340" w:hanging="314"/>
        <w:spacing w:after="0" w:line="221"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passenger revenue received for each revenue passenger mile flown.</w:t>
      </w:r>
    </w:p>
    <w:p>
      <w:pPr>
        <w:ind w:left="340" w:hanging="314"/>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distance a flight travels weighted for size of aircraft.</w:t>
      </w:r>
    </w:p>
    <w:p>
      <w:pPr>
        <w:spacing w:after="0" w:line="26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The table below illustrates the year-over-year percentage change in the Company's operating revenues for the years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(in millions, except percentage changes):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revenue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Cargo</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revenue</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revenue</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59,070</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57,063</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
        </w:trPr>
        <w:tc>
          <w:tcPr>
            <w:tcW w:w="4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table below presents passenger revenue and select operating data of the Company, broken out by geographic region, expressed as year-over-year changes: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Increase (decrease) from 2024:</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Atlantic</w:t>
            </w:r>
          </w:p>
        </w:tc>
        <w:tc>
          <w:tcPr>
            <w:tcW w:w="2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Pacific</w:t>
            </w:r>
          </w:p>
        </w:tc>
        <w:tc>
          <w:tcPr>
            <w:tcW w:w="24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Latin</w:t>
            </w:r>
          </w:p>
        </w:tc>
        <w:tc>
          <w:tcPr>
            <w:tcW w:w="34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revenue (in millions)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1,609</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Passenger revenue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fare per passenger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Yield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PRASM</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Passengers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RPMs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ASMs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load factor (points)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w:t>
            </w: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Passenger revenue increased $1.6 billion, or 3.1%, in 2025 as compared to 2024, primarily due to a 6.1% increase in capacity as well as a 4.3% increase in passengers.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operating revenue increased $362 million, or 10.4%, in 2025 as compared to 2024, primarily due to an increase in mileage revenue from non-airline partners, including credit card spending with our co-branded credit card partner, JPMorgan Chase Bank, N.A., as well as increases in the purchases of United Club memberships.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 </w:t>
      </w:r>
      <w:r>
        <w:rPr>
          <w:rFonts w:ascii="Times New Roman" w:cs="Times New Roman" w:eastAsia="Times New Roman" w:hAnsi="Times New Roman"/>
          <w:sz w:val="18"/>
          <w:szCs w:val="18"/>
          <w:color w:val="auto"/>
        </w:rPr>
        <w:t>The table below includes data related to the Company's operating expense for the years ended December 31 (in millions,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changes):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 (a)</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related costs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17,647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16,678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Aircraft fuel</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11,396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11,756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Landing fees and other rent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Aircraft maintenance materials and outside repairs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Regional capacity purchase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Aircraft rent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 charges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54,356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51,967</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 NM - Greater than 100% change or otherwise not meaningful.</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Salaries and related costs increased $969 million, or 5.8%, in 2025 as compared to 2024, primarily due to increased pay as a result of the increase in flight activity, an increase in headcount of approximately 5.5%, and an increase in pay rates and benefits for eligible employee groups.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Aircraft fuel expense decreased $360 million, or 3.1%, in 2025 as compared to 2024, primarily due to a lower average price per gallon of fuel, partially offset by increased consumption from increased flight activity.</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Landing fees and other rent increased $412 million, or 12.0%, in 2025 as compared to 2024, primarily due to rate increases at various airports, terminal expansions and other increases in the number of airport gates, and higher landed weight volume due to increased flight activity.</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Aircraft maintenance materials and outside repairs costs increased $231 million, or 7.5%, in 2025 as compared to 2024, primarily due to higher volumes of engine overhauls and component part repairs as well as increased cost of materials due to increased flight activity.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Regional capacity purchase costs increased $177 million, or 7.0%, in 2025 as compared to 2024, primarily due to an approximately 9% increase in regional flight activity as well as increases in contractual rates.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Distribution expenses decreased $122 million, or 5.5%, in 2025 as compared to 2024, primarily due to a change in the mix of sales channels as well as the refinement of assumptions used in determining our credit card fees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 rent increased $59 million, or 30.4%, in 2025 as compared to 2024, primarily due to an increase in new aircraft leases compared to the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details on the Company's Special Charges, see Note 13 to the financial statements included in Part II, Item 8 of this report for additional information.</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$866 million, or 9.6%, in 2025 as compared to 2024, primarily due to an increase in flight activity and on-board passengers, including increased costs for on-board catering, ground handling and passenger services, crew-related expenses, as well as expenditures related to information technology projects and services.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Nonoperating Income (Expense). </w:t>
      </w:r>
      <w:r>
        <w:rPr>
          <w:rFonts w:ascii="Times New Roman" w:cs="Times New Roman" w:eastAsia="Times New Roman" w:hAnsi="Times New Roman"/>
          <w:sz w:val="18"/>
          <w:szCs w:val="18"/>
          <w:color w:val="auto"/>
        </w:rPr>
        <w:t>The following table illustrates the year-over-year dollar and percentage changes in the Company's nonoperating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for the years ended December 31 (in millions, except percentage changes):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capitalized</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(losses) on investments, net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 net</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2"/>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7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0"/>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Interest expense decreased $256 million, or 15.7%, in 2025 as compared to 2024, primarily due to lower debt balances as a result of various debt prepayments and scheduled amortization and a reduction in the average cost of debt.</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income decreased $115 million, or 15.9%, in 2025 as compared to 2024, primarily due to lower interest rates and lower levels of cash and short-term investments. See Note 9 to the financial statements included in Part II, Item 8 of this report for additional information.</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Unrealized gains (losses) on investments, net was $4 million in unrealized gains, net in 2025 as compared to $199 million in unrealized losses, net in 2024, primarily due to the change in the fair value of the Company's investments in equity securities. See Notes 9 and 13 to the financial statements included in Part II, Item 8 of this report for additional information.</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Miscellaneous, net changed by $197 million in 2025 as compared to 2024, primarily due to $128 million of debt extinguishment and modification fees in the year-ago period as compared to $20 million in 2025, foreign exchange gains recorded in the current period as compared to losses in the year-ago-period and an increase in the benefit from the Company's net periodic benefit cost of its pensions and postretirement benefit plans. See Notes 10 and 13 to the financial statements included in Part II, Item 8 of this report for additional information on the debt prepayments and refinancing.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See Note 7 to the financial statements included in Part II, Item 8 of this report for information related to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We deploy a disciplined and balanced approach to capital allocation, including returns to stockholders through potential share repurchases. As of December 31, 2025, the Company had $12.2 billion in unrestricted cash, cash equivalents and short-term investments as compared to approximately $14.5 billion as of December 31, 2024. We believe that our existing cash, cash equivalents and short-term investments, together with cash generated from operations, will be sufficient to satisfy our anticipated liquidity needs for the next 12 months, and we expect to meet our long-term liquidity needs with our anticipated access to the capital markets and projected cash from operations. We regularly assess our anticipated working capital needs, debt and leverage levels, debt maturities, capital expenditure requirements (including in connection with our capital commitments for our firm order aircraft and any changes to such commitments), planned UAL common stock or Warrant purchases under our share repurchase program and future investments or acquisitions in order to maximize stockholder return, efficiently finance our ongoing operations and maintain flexibility for future strategic transactions. We also regularly evaluate our liquidity and capital structure to efficiently manage financial risks, liquidity access and cost of capital.</w:t>
      </w:r>
    </w:p>
    <w:p>
      <w:pPr>
        <w:spacing w:after="0" w:line="1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has a $3.0 billion revolving credit facility as of December 31, 2025. The revolving credit facility is secured by certain route authorities and airport slots and gates. No borrowings were outstanding under the revolving credit facility as of December 31, 2025.</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7, 2025, Mileage Plus Holdings, LLC ("MPH"), a direct wholly owned subsidiary of United, and Mileage Plus Intellectual Property Assets, Ltd., an indirect wholly owned subsidiary of MPH ("MIPA" and, together with MPH, the "Issuers"), redeemed in full (the "Redemption") all $1.52 billion aggregate principal amount of the Issuers' outstanding MileagePlus 6.5% senior secured notes due 2027 (the "MileagePlus Notes"), which were secured by substantially all of the assets of the Issuers and their subsidiaries. As a result of the Redemption and the July 2024 voluntarily prepayment in full of the $1.80 billion outstanding principal balance of the secured term loan facility, which was secured ratably with the MileagePlus Notes, all indebtedness secured by the MileagePlus assets have been fully repaid.</w:t>
      </w:r>
    </w:p>
    <w:p>
      <w:pPr>
        <w:spacing w:after="0" w:line="13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a significant amount of fixed obligations, including debt, leases of aircraft, airport and other facilities, and pension funding obligations. As of December 31, 2025, the Company had approximately $31.0 billion of debt, finance lease, operating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lease and other financial liabilities, including $5.1 billion that will become due in the next 12 months. In addition, we have substantial noncancelable commitments for capital expenditures, including the acquisition of certain new aircraft and related spare engines. Our debt agreements contain customary terms and conditions as well as various affirmative, negative and financial covenants that, among other things, limit our ability under certain circumstances to create liens on collateral, make certain dividends, stock repurchases, restricted investments and other restricted payments, and consolidate, merge, sell, or otherwise dispose of all or substantially all of our assets. Our debt agreements also contain events of default customary for similar financings including, in certain cases, cross-payment default and cross-acceleration to other material indebtedness. Certain of our debt agreements contain financial covenants that require the Company to maintain at least $2.0 billion of unrestricted liquidity at all times, which includes unrestricted cash, certain liquid and short-term investments and any undrawn amounts under any revolving credit facility, and to maintain a minimum ratio of appraised value of collateral to the outstanding debt secured by such collateral on a senior basis of 1.6 to 1.0, tested semi-annually. As of December 31, 2025, UAL and United were in compliance with their respective debt covenants under these agreements. As of December 31, 2025, a substantial portion of the Company's assets, principally aircraft and certain related assets, certain route authorities and airport slots and gates, was pledged under various loan and other agreements. See Note 10 to the financial statements included in Part II, Item 8 of this report for additional information on aircraft financing and other debt instruments.</w:t>
      </w:r>
    </w:p>
    <w:p>
      <w:pPr>
        <w:spacing w:after="0" w:line="136"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On February 2, 2026, UAL issued, in a public offering, $1,000,000,000 principal amount of its 5.375% Senior Notes due 2031 (the "2031 Notes"), which are guaranteed by United. The 2031 Notes, issued at a price of 100% of their principal amount, bear interest at a rate of 5.375% per annum, payable semi-annually on March 1 and September 1 of each year, beginning September 1, 2026 and maturing on March 1, 2031. UAL, at its option, may redeem the</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2031 Notes at any time prior to September 1, 2030, in whole or in part, at a redemption price equal to the greater of (1) 100% of the principal amount of the 2031 Notes to be redeemed and (2) a make-whole amount, if any, plus accrued and unpaid interest on the principal amount being redeemed to the redemption date. At any time on or after September 1, 2030, UAL may redeem the 2031 Notes, in whole or in part, at a redemption price equal to 100% of the principal amount of the 2031 Notes to be redeemed, plus accrued and unpaid interest on the principal amount being redeemed to the redemption date.</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3, 2026, the Company entered into Amendment No. 4 to Term Loan Credit and Guaranty Agreement that lowered the margin on its interest rate from 2.00% to 1.75%, in the case of Term SOFR Rate (as such term is defined in the Term Loan Credit and Guaranty Agreement, dated as of April 21, 2021, as amended) loans, and from 1.00% to 0.75%, in the case of loans at other market rates.</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February 6, 2026, UAL issued, in a public offering, $1,000,000,000 principal amount of its 4.875% Senior Notes due 2029 (the "2029 Notes"), which are guaranteed by United. The 2029 Notes, issued at a price of 100% of their principal amount, bear interest at a rate of 4.875% per annum, payable semi-annually on March 1 and September 1 of each year, beginning September 1, 2026 and maturing on March 1, 2029. UAL, at its option, may redeem the 2029 Notes at any time prior to December 1, 2028, in whole or in part, at a redemption price equal to the greater of (1) 100% of the principal amount of the 2029 Notes to be redeemed and (2) a make-whole amount, if any, plus accrued and unpaid interest on the principal amount being redeemed to the redemption date. At any time on or after December 1, 2028, UAL may redeem the 2029 Notes, in whole or in part, at a redemption price equal to 100% of the principal amount of the 2029 Notes to be redeemed, plus accrued and unpaid interest on the principal amount being redeemed to the redemption date.</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2026, the Company expects less than $8.0 billion of adjusted capital expenditures, in light of certain aircraft delivery delays. Adjusted capital expenditures is a financial measure not calculated in accordance with generally accepted accounting principles ("GAAP"). It is calculated as capital expenditures, net of flight equipment purchase deposit returns, plus property and equipment acquired through the issuance or modification of debt, finance leases and other financial liabilities and operating leases converted to finance leases. We are not providing a target for or a reconciliation to capital expenditures, net of flight equipment purchase deposit returns, the most directly comparable GAAP measure, because we are not able to predict non-cash capital expenditures without unreasonable efforts, and therefore we also are not able to determine the probable significance of such items. We believe that adjusting capital expenditures for assets acquired through the issuance or modification of debt, finance leases and other financial liabilities as well as operating to finance lease conversions is useful to investors in order to appropriately reflect the total amounts spent on capital expenditures. The Company's estimate for aircraft expenditures reflects its current assumptions regarding delayed aircraft deliveries. See Item 2. Properties in Part I of this report and Note 12 to the financial statements included in Part II, Item 8 of this report for additional information on commitments, including aircraft expenditures reflecting contractual delivery dates without adjustment for expected delays. The Company has backstop financing commitments available from certain of its aircraft manufacturers for a limited number of its future aircraft deliveries, subject to certain customary conditions.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Sources and Uses of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for the years ended December 31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provided by (used in):</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9,445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6,911</w:t>
            </w:r>
          </w:p>
        </w:tc>
      </w:tr>
      <w:tr>
        <w:trPr>
          <w:trHeight w:val="230"/>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(6,350)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(2,651)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8"/>
              </w:rPr>
              <w:t>(6,106)</w:t>
            </w: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(4,945)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rPr>
              <w:t>(4,182)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8"/>
              </w:rPr>
              <w:t>(1,892)</w:t>
            </w: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(2,865)</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2,612</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w w:val="98"/>
              </w:rPr>
              <w:t>(1,087)</w:t>
            </w:r>
          </w:p>
        </w:tc>
      </w:tr>
      <w:tr>
        <w:trPr>
          <w:trHeight w:val="20"/>
        </w:trPr>
        <w:tc>
          <w:tcPr>
            <w:tcW w:w="6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Statements of Consolidated Cash Flows included in Part II, Item 8 of this report for additional information.</w:t>
      </w:r>
    </w:p>
    <w:p>
      <w:pPr>
        <w:spacing w:after="0" w:line="16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provided by operating activities for 2025 were $1.0 billion lower than 2024 primarily due to operating income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period-over-period and a net change in various working capital items, most notably $0.3 billion related to pension contributions in 2025.</w:t>
      </w:r>
    </w:p>
    <w:p>
      <w:pPr>
        <w:spacing w:after="0" w:line="101"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Cash flows used in investing activities increased $3.7 billion in 2025 as compared to the year-ago period mainly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$3.3 billion higher net activity in purchases and sales of short-term and other investments, as well as a $0.3 billion increase in capital expenditures.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Significant financing events in 2025 were as follows:</w:t>
      </w:r>
    </w:p>
    <w:p>
      <w:pPr>
        <w:spacing w:after="0" w:line="173" w:lineRule="exact"/>
        <w:rPr>
          <w:sz w:val="20"/>
          <w:szCs w:val="20"/>
          <w:color w:val="auto"/>
        </w:rPr>
      </w:pPr>
    </w:p>
    <w:p>
      <w:pPr>
        <w:jc w:val="both"/>
        <w:ind w:right="360"/>
        <w:spacing w:after="0" w:line="315" w:lineRule="auto"/>
        <w:rPr>
          <w:sz w:val="20"/>
          <w:szCs w:val="20"/>
          <w:color w:val="auto"/>
        </w:rPr>
      </w:pPr>
      <w:r>
        <w:rPr>
          <w:rFonts w:ascii="Times New Roman" w:cs="Times New Roman" w:eastAsia="Times New Roman" w:hAnsi="Times New Roman"/>
          <w:sz w:val="17"/>
          <w:szCs w:val="17"/>
          <w:i w:val="1"/>
          <w:iCs w:val="1"/>
          <w:color w:val="auto"/>
        </w:rPr>
        <w:t>Debt, Finance Lease and Other Financial Liability Principal Payments</w:t>
      </w:r>
      <w:r>
        <w:rPr>
          <w:rFonts w:ascii="Times New Roman" w:cs="Times New Roman" w:eastAsia="Times New Roman" w:hAnsi="Times New Roman"/>
          <w:sz w:val="17"/>
          <w:szCs w:val="17"/>
          <w:color w:val="auto"/>
        </w:rPr>
        <w:t>. During 2025, the Company made payments for debt, finance leases,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liabilities of $4.8 billion, including the $1.52 billion prepayment of the outstanding principal balance of its MileagePlus senior secured notes.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Debt Issuances. </w:t>
      </w:r>
      <w:r>
        <w:rPr>
          <w:rFonts w:ascii="Times New Roman" w:cs="Times New Roman" w:eastAsia="Times New Roman" w:hAnsi="Times New Roman"/>
          <w:sz w:val="18"/>
          <w:szCs w:val="18"/>
          <w:color w:val="auto"/>
        </w:rPr>
        <w:t>In 2025, the Company raised:</w:t>
      </w:r>
    </w:p>
    <w:p>
      <w:pPr>
        <w:spacing w:after="0" w:line="17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strike w:val="1"/>
        </w:rPr>
      </w:pPr>
      <w:r>
        <w:rPr>
          <w:rFonts w:ascii="Times New Roman" w:cs="Times New Roman" w:eastAsia="Times New Roman" w:hAnsi="Times New Roman"/>
          <w:sz w:val="18"/>
          <w:szCs w:val="18"/>
          <w:color w:val="auto"/>
        </w:rPr>
        <w:t>$539 million through the issuance of debt for new aircraft financings</w:t>
      </w:r>
    </w:p>
    <w:p>
      <w:pPr>
        <w:spacing w:after="0" w:line="171" w:lineRule="exact"/>
        <w:rPr>
          <w:rFonts w:ascii="Times New Roman" w:cs="Times New Roman" w:eastAsia="Times New Roman" w:hAnsi="Times New Roman"/>
          <w:sz w:val="18"/>
          <w:szCs w:val="18"/>
          <w:i w:val="1"/>
          <w:iCs w:val="1"/>
          <w:color w:val="auto"/>
          <w:strike w:val="1"/>
        </w:rPr>
      </w:pPr>
    </w:p>
    <w:p>
      <w:pPr>
        <w:ind w:right="1120" w:firstLine="332"/>
        <w:spacing w:after="0" w:line="462" w:lineRule="auto"/>
        <w:tabs>
          <w:tab w:leader="none" w:pos="64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$258 million of debt to finance the construction of a maintenance, repair and overhaul complex at Orlando International Airport. See Note 10 and Note 11 to the financial statements included in Part II, Item 8 of this report for additional information on aircraft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Share Repurchases. </w:t>
      </w:r>
      <w:r>
        <w:rPr>
          <w:rFonts w:ascii="Times New Roman" w:cs="Times New Roman" w:eastAsia="Times New Roman" w:hAnsi="Times New Roman"/>
          <w:sz w:val="17"/>
          <w:szCs w:val="17"/>
          <w:color w:val="auto"/>
        </w:rPr>
        <w:t>On October 15, 2024, the Company's Board authorized a new share repurchase program, allowing for purchases of up to $1.5 billion in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of outstanding UAL common stock. In 2025, the Company repurchased 8.1 million shares of UAL common stock at an average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$78.75 for a total investment of approximately $640 million as part of the share repurchase program. As of February 5, 2026, the dollar value of shares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yet be purchased under the program is approximately $0.8 billion. See Note 3 to the financial statements included in Part II, Item 8 of this report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on the share repurchase program.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financing events in 2024 were as follows:</w:t>
      </w:r>
    </w:p>
    <w:p>
      <w:pPr>
        <w:spacing w:after="0" w:line="169"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Debt, Finance Lease and Other Financial Liability Principal Payments. </w:t>
      </w:r>
      <w:r>
        <w:rPr>
          <w:rFonts w:ascii="Times New Roman" w:cs="Times New Roman" w:eastAsia="Times New Roman" w:hAnsi="Times New Roman"/>
          <w:sz w:val="18"/>
          <w:szCs w:val="18"/>
          <w:color w:val="auto"/>
        </w:rPr>
        <w:t>During 2024, the Company made payments for debt, finance leases,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liabilities of $10.1 billion, including the $3.9 billion prepayment of its 2021 term loan, $1.8 billion prepayment of the outstanding principal balance of its MileagePlus term loan, and a $0.4 billion prepayment of its 2024 term loan.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Debt Issuances. </w:t>
      </w:r>
      <w:r>
        <w:rPr>
          <w:rFonts w:ascii="Times New Roman" w:cs="Times New Roman" w:eastAsia="Times New Roman" w:hAnsi="Times New Roman"/>
          <w:sz w:val="18"/>
          <w:szCs w:val="18"/>
          <w:color w:val="auto"/>
        </w:rPr>
        <w:t>In 2024, the Company raised:</w:t>
      </w:r>
    </w:p>
    <w:p>
      <w:pPr>
        <w:spacing w:after="0" w:line="9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billion under the new term loan facility;</w:t>
      </w:r>
    </w:p>
    <w:p>
      <w:pPr>
        <w:spacing w:after="0" w:line="10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billion through the issuance of equipment notes (the "2024 Equipment Notes") secured by 48 Boeing aircraft delivered new from the manufacturer from October 2010 to December 2023;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billion through the issuance of debt, not including the 2024 Equipment Notes, and other financial liabilities on aircraft.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During the quarter ended December 31, 2024, the Company repurchased 997,076 shares of UAL common stock at an average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$81.26 for a total investment of approximately $81 million as part of the share repurchase program.</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these Liquidity and Capital Resource matters, see Notes 10, 11 and 12 to the financial statements included in Part II, Item 8 of this report. For information regarding non-cash investing and financing activities, see the Company's statements of consolidated cash flows. For a discussion of the Company's sources and uses of cash in 2024 as compared to 2023, see "Liquidity and Capital Resources" in Part II, Item 7. Management's Discussion and Analysis of Financial Condition and Results of Operations in the 2024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Credit Ratings. </w:t>
      </w:r>
      <w:r>
        <w:rPr>
          <w:rFonts w:ascii="Times New Roman" w:cs="Times New Roman" w:eastAsia="Times New Roman" w:hAnsi="Times New Roman"/>
          <w:sz w:val="18"/>
          <w:szCs w:val="18"/>
          <w:color w:val="auto"/>
        </w:rPr>
        <w:t>As of the filing date of this report, UAL and United had the following corporate credit ratings:</w:t>
      </w:r>
    </w:p>
    <w:p>
      <w:pPr>
        <w:spacing w:after="0" w:line="310"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16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S&amp;P</w:t>
            </w:r>
          </w:p>
        </w:tc>
        <w:tc>
          <w:tcPr>
            <w:tcW w:w="14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Moody's</w:t>
            </w:r>
          </w:p>
        </w:tc>
        <w:tc>
          <w:tcPr>
            <w:tcW w:w="14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Fitch</w:t>
            </w:r>
          </w:p>
        </w:tc>
      </w:tr>
      <w:tr>
        <w:trPr>
          <w:trHeight w:val="23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UAL</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Ba1</w:t>
            </w:r>
          </w:p>
        </w:tc>
        <w:tc>
          <w:tcPr>
            <w:tcW w:w="2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BB+</w:t>
            </w:r>
          </w:p>
        </w:tc>
      </w:tr>
      <w:tr>
        <w:trPr>
          <w:trHeight w:val="25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United</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6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0</wp:posOffset>
            </wp:positionV>
            <wp:extent cx="46462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*The credit agency does not issue corporate credit ratings for subsidiary entities.</w:t>
      </w:r>
    </w:p>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been able to secure financing with investment grade credit ratings for certain enhanced equipment trust certificates ("EETCs"), term loans and secured bond financings. Downgrades from these rating levels, among other things, could restrict the availability, or increase the cost, of future financing for the Company as well as affect the fair market value of existing debt. A rating reflects only the view of a rating agency and is not a recommendation to buy, sell or hold securities. Ratings can be revised upward or downward at any time by a rating agency if such rating agency decides that circumstances warrant such a change. Currently Moody's and Fitch have assigned the Company a stable outlook and S&amp;P a positive outlook.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Below is a summary of additional liquidity matters. See the indicated notes to our consolidated financial statements included in Part II, Item 8 of this report for additional details related to these and other matters affecting our liquidity and commitments.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plans</w:t>
            </w:r>
          </w:p>
        </w:tc>
        <w:tc>
          <w:tcPr>
            <w:tcW w:w="410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Note 8</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and debt covenants</w:t>
            </w:r>
          </w:p>
        </w:tc>
        <w:tc>
          <w:tcPr>
            <w:tcW w:w="4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Note 10</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410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Note 11</w:t>
            </w:r>
          </w:p>
        </w:tc>
      </w:tr>
      <w:tr>
        <w:trPr>
          <w:trHeight w:val="230"/>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Commitments, contingencies and capacity purchase agreements</w:t>
            </w:r>
          </w:p>
        </w:tc>
        <w:tc>
          <w:tcPr>
            <w:tcW w:w="41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Note 12</w:t>
            </w:r>
          </w:p>
        </w:tc>
      </w:tr>
    </w:tbl>
    <w:p>
      <w:pPr>
        <w:spacing w:after="0" w:line="15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business is capital intensive, requiring significant amounts of capital to fund the acquisition of assets, particularly aircraft. In the past, the Company has funded the acquisition of aircraft with cash, by using EETC financing, by entering into finance or operating leases, or through other financings. The Company also often enters into long-term lease commitments with airports to ensure access to terminal, cargo, maintenance and other required facilities.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the Company's current and long-term material cash requirements as of December 31, 2025 (in billions):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After 2030</w:t>
            </w:r>
          </w:p>
        </w:tc>
      </w:tr>
      <w:tr>
        <w:trPr>
          <w:trHeight w:val="22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related interest (a)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(b)</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 not yet commenced (c)</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Regional CPAs (d)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payments and pension funding (e)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 and other purchases (f)</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68"/>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4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r>
    </w:tbl>
    <w:p>
      <w:pPr>
        <w:spacing w:after="0" w:line="99" w:lineRule="exact"/>
        <w:rPr>
          <w:sz w:val="20"/>
          <w:szCs w:val="20"/>
          <w:color w:val="auto"/>
        </w:rPr>
      </w:pPr>
    </w:p>
    <w:p>
      <w:pPr>
        <w:ind w:left="340" w:right="200" w:hanging="332"/>
        <w:spacing w:after="0" w:line="295" w:lineRule="auto"/>
        <w:tabs>
          <w:tab w:leader="none" w:pos="33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debt presented in the Company's financial statements is net of $117 million of debt discount, premiums and debt issuance costs which are being amortized over the debt terms. Cash requirements do not include the debt discount, premiums and debt issuance costs. Future interest payments on variable rate debt were computed using the rates as of December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right="60" w:hanging="332"/>
        <w:spacing w:after="0" w:line="28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future payments under fixed rate operating lease obligations. See Note 11 to the financial statements included in Part II, Item 8 of this report for information on variable rate and short-term operating leases.</w:t>
      </w:r>
    </w:p>
    <w:p>
      <w:pPr>
        <w:spacing w:after="0" w:line="1" w:lineRule="exact"/>
        <w:rPr>
          <w:rFonts w:ascii="Times New Roman" w:cs="Times New Roman" w:eastAsia="Times New Roman" w:hAnsi="Times New Roman"/>
          <w:sz w:val="14"/>
          <w:szCs w:val="14"/>
          <w:color w:val="auto"/>
        </w:rPr>
      </w:pPr>
    </w:p>
    <w:p>
      <w:pPr>
        <w:ind w:left="340" w:right="260" w:hanging="332"/>
        <w:spacing w:after="0" w:line="281"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future payments under leases that have not yet commenced and are not included in the consolidated balance sheet. See Note 11 to the financial statements included in Part II, Item 8 of this report for information on these leases.</w:t>
      </w:r>
    </w:p>
    <w:p>
      <w:pPr>
        <w:spacing w:after="0" w:line="1" w:lineRule="exact"/>
        <w:rPr>
          <w:rFonts w:ascii="Times New Roman" w:cs="Times New Roman" w:eastAsia="Times New Roman" w:hAnsi="Times New Roman"/>
          <w:sz w:val="14"/>
          <w:szCs w:val="14"/>
          <w:color w:val="auto"/>
        </w:rPr>
      </w:pPr>
    </w:p>
    <w:p>
      <w:pPr>
        <w:ind w:left="340" w:hanging="332"/>
        <w:spacing w:after="0" w:line="275"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our estimates of future minimum noncancelable commitments under our CPAs and does not include the portion of the underlying obligations for aircraft and facility rent that is disclosed as part of operating lease obligations. Amounts also exclude a portion of United's finance lease obligations recorded for certain of its CPAs. See Note 12 to the financial statements included in Part II, Item 8 of this report for the significant assumptions used to estimate the payments.</w:t>
      </w:r>
    </w:p>
    <w:p>
      <w:pPr>
        <w:ind w:left="340" w:right="20" w:hanging="332"/>
        <w:spacing w:after="0" w:line="275"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postretirement benefit payments and an estimate of the minimum funding requirements as determined by government regulations for United's U.S. pension plans through 2035. Amounts are subject to change based on numerous assumptions, including the performance of assets in the plans and bond rates. Postretirement benefit payments approximate plan contributions as plans are substantially unfunded. See Note 8 to the financial statements included in Part II, Item 8 of this report for additional information on these benefit plans.</w:t>
      </w:r>
    </w:p>
    <w:p>
      <w:pPr>
        <w:ind w:left="340" w:right="80" w:hanging="332"/>
        <w:spacing w:after="0" w:line="302" w:lineRule="auto"/>
        <w:tabs>
          <w:tab w:leader="none" w:pos="33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commitments for firm order aircraft, spare engines and other purchase commitments. See Note 12 to the financial statements included in Part II, Item 8 of this report for a discussion of our purchase commitments.</w:t>
      </w:r>
    </w:p>
    <w:p>
      <w:pPr>
        <w:spacing w:after="0" w:line="1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significant financial obligations and guarantees that could impact its future cash flow. As of December 31, 2025, the Company has $502 million in letters of credit and surety bonds with expiration dates through 2036, some of which are cash collateralized. Additionally, United is involved in fuel consortia at major airports, which help reduce fuel distribution and storage costs. The consortia (and in limited cases, the participating carriers) have entered into long-term agreements to lease certain airport fuel storage and distribution facilities that are typically financed through various debt obligations. The Company has indirect guarantees for approximately $2.9 billion in loans secured by fuel facility leases in which United participates, with a contingent exposure of about $513 million. These indirect guarantees are set to expire between 2027 and 2056. The Company's contingent exposure could increase in the future if the participation of other air carriers in such fuel consortia decreases. See Note 12 to the financial statements included in Part II, Item 8 of this report for more information related to these guarantees and increased cost 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affected by significant judgments and uncertainties which potentially could result in materially different accounting under different assumptions and conditions. The Company has prepared the financial statements in conformity with GAAP, which requires management to make estimates and assumptions that affect the reported amounts in the financial statements. Actual results could differ from those estimates. See Note 1 and Note 2 to the financial statements included in Part II, Item 8 of this report for additional discussion of these estimates and other significant accounting policies. The Company has identified the following critical accounting policies that impact the preparation of the financial statements.</w:t>
      </w:r>
    </w:p>
    <w:p>
      <w:pPr>
        <w:spacing w:after="0" w:line="12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Frequent Flyer Accounting. </w:t>
      </w:r>
      <w:r>
        <w:rPr>
          <w:rFonts w:ascii="Times New Roman" w:cs="Times New Roman" w:eastAsia="Times New Roman" w:hAnsi="Times New Roman"/>
          <w:sz w:val="18"/>
          <w:szCs w:val="18"/>
          <w:color w:val="auto"/>
        </w:rPr>
        <w:t>As discussed in Note 2 to the financial statements included in Part II, Item 8 of this report, MileagePlus members earn miles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various travel and non-travel activities and those miles can be redeemed for free (other than taxes and government-imposed fees), discounted or upgraded air travel and non-travel awards.</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Co-Brand Agreement</w:t>
      </w:r>
      <w:r>
        <w:rPr>
          <w:rFonts w:ascii="Times New Roman" w:cs="Times New Roman" w:eastAsia="Times New Roman" w:hAnsi="Times New Roman"/>
          <w:sz w:val="18"/>
          <w:szCs w:val="18"/>
          <w:color w:val="auto"/>
        </w:rPr>
        <w:t>. United has a contract (the "Co-Brand Agreement") to sell MileagePlus miles to its co-branded credit card partner Chase. 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miles to MileagePlus members based on their credit card activity. United identified the following significant separately identifiable performance obligations in the Co-Brand Agreement:</w:t>
      </w:r>
    </w:p>
    <w:p>
      <w:pPr>
        <w:spacing w:after="0" w:line="40" w:lineRule="exact"/>
        <w:rPr>
          <w:sz w:val="20"/>
          <w:szCs w:val="20"/>
          <w:color w:val="auto"/>
        </w:rPr>
      </w:pPr>
    </w:p>
    <w:p>
      <w:pPr>
        <w:ind w:left="900" w:right="100" w:hanging="244"/>
        <w:spacing w:after="0" w:line="261"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operating revenue related to the non-travel awards when the goods or services are delivered. The Company records the cost associated with non-travel awards in Other operating revenue, as an agent.</w:t>
      </w:r>
    </w:p>
    <w:p>
      <w:pPr>
        <w:spacing w:after="0" w:line="58" w:lineRule="exact"/>
        <w:rPr>
          <w:rFonts w:ascii="Times New Roman" w:cs="Times New Roman" w:eastAsia="Times New Roman" w:hAnsi="Times New Roman"/>
          <w:sz w:val="18"/>
          <w:szCs w:val="18"/>
          <w:color w:val="auto"/>
        </w:rPr>
      </w:pPr>
    </w:p>
    <w:p>
      <w:pPr>
        <w:ind w:left="900" w:right="220" w:hanging="244"/>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 United has a performance obligation to provide Chase access to United's customer list and the use of United's brand. Marketing revenue is recorded to Other operating revenue as miles are delivered to Chase.</w:t>
      </w:r>
    </w:p>
    <w:p>
      <w:pPr>
        <w:spacing w:after="0" w:line="26" w:lineRule="exact"/>
        <w:rPr>
          <w:rFonts w:ascii="Times New Roman" w:cs="Times New Roman" w:eastAsia="Times New Roman" w:hAnsi="Times New Roman"/>
          <w:sz w:val="18"/>
          <w:szCs w:val="18"/>
          <w:color w:val="auto"/>
        </w:rPr>
      </w:pPr>
    </w:p>
    <w:p>
      <w:pPr>
        <w:ind w:left="900" w:hanging="244"/>
        <w:spacing w:after="0" w:line="266"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54" w:lineRule="exact"/>
        <w:rPr>
          <w:rFonts w:ascii="Times New Roman" w:cs="Times New Roman" w:eastAsia="Times New Roman" w:hAnsi="Times New Roman"/>
          <w:sz w:val="18"/>
          <w:szCs w:val="18"/>
          <w:color w:val="auto"/>
        </w:rPr>
      </w:pPr>
    </w:p>
    <w:p>
      <w:pPr>
        <w:ind w:left="900" w:right="320" w:hanging="244"/>
        <w:spacing w:after="0" w:line="266"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United accounts for payments received under the Co-Brand Agreement by allocating them to the separately identifiable performance obligations based on management's estimated selling price of each component. The objective of using the estimated selling price based methodology is to determine the price at which United would transact a sale if the product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service were sold on a stand-alone basis. Accordingly, United determines the estimated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at the inception of the contract, in order to determine the allocation of proceeds to each of the components to be delivered.</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plans. </w:t>
      </w:r>
      <w:r>
        <w:rPr>
          <w:rFonts w:ascii="Times New Roman" w:cs="Times New Roman" w:eastAsia="Times New Roman" w:hAnsi="Times New Roman"/>
          <w:sz w:val="18"/>
          <w:szCs w:val="18"/>
          <w:color w:val="auto"/>
        </w:rPr>
        <w:t>As discussed in Note 8 to the financial statements included in Part II, Item 8 of this report, United maintains various defined benefit pension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for certain employees. The most critical assumptions impacting our defined benefit pension plan obligation and expenses are the weighted average discount rate and the expected long-term rate of return on the plan assets.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January 1, 2026, the Company assumed that its plans' assets would generate a long-term rate of return of 8.07%. We develop our expected long-term rate of return assumption based on historical experience and by evaluating input from the trustee managing the plans' assets. Our expected long-term rate of return on plan assets for these plans is based on a target allocation of assets, which is based on our goal of earning the highest rate of return while maintaining risk at acceptable levels.</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weighted average discount rate to determine its benefit obligations as of December 31, 2025 was 5.62%. The Company selected the 2025 discount rate for substantially all of its plans by using a hypothetical portfolio of high-quality bonds that would provide the necessary cash flows to match projected benefit payments.</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shows the 2026 net periodic benefit cost and the impacts of a change in certain assumptions on 2026 net periodic benefit cost and the benefit obligations at December 31, 2025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0" w:type="dxa"/>
            <w:vAlign w:val="bottom"/>
          </w:tcPr>
          <w:p>
            <w:pPr>
              <w:spacing w:after="0"/>
              <w:rPr>
                <w:sz w:val="1"/>
                <w:szCs w:val="1"/>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 Net Periodic Benefit Cost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500"/>
        </w:trPr>
        <w:tc>
          <w:tcPr>
            <w:tcW w:w="9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Impact on Benefit Obligation at December 31, 2025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 decrease in the weighted average discount rate</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94"/>
        </w:trPr>
        <w:tc>
          <w:tcPr>
            <w:tcW w:w="9600" w:type="dxa"/>
            <w:vAlign w:val="bottom"/>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14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00"/>
        </w:trPr>
        <w:tc>
          <w:tcPr>
            <w:tcW w:w="9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Impact on 2026 Net Periodic Benefit Cost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 decrease in the weighted average discount rate (a)</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95"/>
        </w:trPr>
        <w:tc>
          <w:tcPr>
            <w:tcW w:w="9600" w:type="dxa"/>
            <w:vAlign w:val="bottom"/>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14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points decrease in the expected long-term rate of return on plan assets</w:t>
            </w:r>
          </w:p>
        </w:tc>
        <w:tc>
          <w:tcPr>
            <w:tcW w:w="2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95"/>
        </w:trPr>
        <w:tc>
          <w:tcPr>
            <w:tcW w:w="836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right="200" w:firstLine="6"/>
        <w:spacing w:after="0" w:line="261" w:lineRule="auto"/>
        <w:tabs>
          <w:tab w:leader="none" w:pos="2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as discount rates increase, the impact of changes in discount rates decreases. Therefore, these sensitivities cannot be extrapolated for larger increases or decreases in the discount rate. In addition, benefit cost is affected by other factors including, but not limited to, investment performance, contributions, demographic experience and other assumption changes.</w:t>
      </w:r>
    </w:p>
    <w:p>
      <w:pPr>
        <w:spacing w:after="0" w:line="23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Indefinite-lived intangible assets. </w:t>
      </w:r>
      <w:r>
        <w:rPr>
          <w:rFonts w:ascii="Times New Roman" w:cs="Times New Roman" w:eastAsia="Times New Roman" w:hAnsi="Times New Roman"/>
          <w:sz w:val="18"/>
          <w:szCs w:val="18"/>
          <w:color w:val="auto"/>
        </w:rPr>
        <w:t>As discussed in Note 1 to the financial statements, goodwill and indefinite-lived intangible assets are assessed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impairment on an annual basis as of October 1, or more frequently if events or circumstances indicate that the asset may be impaired. For the Company's China route authority, the Company performed a quantitative assessment which involved determining the fair value of the asset and comparing that amount to the asset's carrying value. To determine the fair value of the China route authority, the Company used a discounted cash flow method. Key assumptions used in the valuation model included forecasted revenues, margin and an overall discount rate. These assumptions are inherently uncertain as they relate to future events and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the financial statements included in Part II, Item 8 of this report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This report contains certain "forward-looking statements," within the meaning of Section 27A of the Securities Act of 1933, as amended, and Section 21E of the Securities Exchange Act of 1934, as amended, including in Part II, Item 7. Management's Discussion and Analysis of Financial Condition and Results of Operations and elsewhere, relating to, among other things, goals, plans and projections regarding the Company's financial position, results of operations, capital allocation and investments, market position, airline capacity, fleet plan strategy, fares,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spacing w:after="0" w:line="1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military conflicts across the globe, as well as any escalation of the broader economic consequences of any conflicts beyond their current scope or a delay in any planned resumption of service to an area impacted by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costs related to employee and retiree health, pension, labor or regulatory compliance costs on our operations or financial performance; any failure to recruit, hire, develop or train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UAL common stock and warrants; and other risks and uncertainties set forth under Part I, Item 1A. Risk Factors, and under "Economic and Market Factors" and "Governmental Actions" in Part II, Item 7. Management's Discussion and Analysis of Financial Condition and Results of Operations, of this report, as well as other risks and uncertainties set forth from time to time in the reports we file with the SEC.</w:t>
      </w:r>
    </w:p>
    <w:p>
      <w:pPr>
        <w:spacing w:after="0" w:line="14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foregoing list sets forth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It is routine for our internal projections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and expectations to change as the year or each quarter in the year progresses, and therefore it should be clearly understood that the internal projections, beliefs and assumptions upon which we base our expectations may change. For instance, we regularly monitor future demand and booking trends and adjust capacity, as needed. As such, our actual flown capacity may differ materially from currently published flight schedules or current estimations.</w:t>
      </w:r>
    </w:p>
    <w:p>
      <w:pPr>
        <w:spacing w:after="0" w:line="200" w:lineRule="exact"/>
        <w:rPr>
          <w:sz w:val="20"/>
          <w:szCs w:val="20"/>
          <w:color w:val="auto"/>
        </w:rPr>
      </w:pPr>
    </w:p>
    <w:p>
      <w:pPr>
        <w:spacing w:after="0" w:line="3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80" w:right="7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are exposed to market risk resulting from changes in foreign currency exchange rates and interest rates. These risks, along with other business risks, impact our cost of capital. It is our policy to manage our debt structure and foreign exchange exposure in order to manage capital costs, control financial risks and maintain financial flexibility over the long term. In managing market risks, we may employ derivatives according to documented policies and procedures, including interest rate swaps, interest rate locks, foreign currency exchange contracts and combined interest rate foreign currency contracts (cross-currency swaps). We do not use derivatives for trading or speculative purposes. We do not foresee significant changes in the strategies we use to manage market risk in the near future. All of our financial instruments are subject to counterparty credit risk considered as part of the overall fair value measurement.</w:t>
      </w:r>
    </w:p>
    <w:p>
      <w:pPr>
        <w:spacing w:after="0" w:line="13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Rates. </w:t>
      </w:r>
      <w:r>
        <w:rPr>
          <w:rFonts w:ascii="Times New Roman" w:cs="Times New Roman" w:eastAsia="Times New Roman" w:hAnsi="Times New Roman"/>
          <w:sz w:val="18"/>
          <w:szCs w:val="18"/>
          <w:color w:val="auto"/>
        </w:rPr>
        <w:t>Our net income is affected by fluctuations in interest rates (e.g. interest expense on variable rate debt and interest income earned on short-term investments). The Company's policy is to manage interest rate risk through a combination of fixed and variable rate debt. The following table summarizes information related to the Company's interest rate market risk at December 31, 2025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Variable rate debt</w:t>
            </w:r>
          </w:p>
        </w:tc>
        <w:tc>
          <w:tcPr>
            <w:tcW w:w="2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variable rate debt</w:t>
            </w:r>
          </w:p>
        </w:tc>
        <w:tc>
          <w:tcPr>
            <w:tcW w:w="2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w:t>
            </w: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Impact of 100 basis point increase on projected interest expense for the following year</w:t>
            </w:r>
          </w:p>
        </w:tc>
        <w:tc>
          <w:tcPr>
            <w:tcW w:w="2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Fixed rate debt</w:t>
            </w:r>
          </w:p>
        </w:tc>
        <w:tc>
          <w:tcPr>
            <w:tcW w:w="6800" w:type="dxa"/>
            <w:vAlign w:val="bottom"/>
            <w:tcBorders>
              <w:bottom w:val="single" w:sz="8" w:color="CCEEFF"/>
            </w:tcBorders>
            <w:gridSpan w:val="2"/>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Carrying value of fixed rate debt</w:t>
            </w:r>
          </w:p>
        </w:tc>
        <w:tc>
          <w:tcPr>
            <w:tcW w:w="2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fixed rate debt</w:t>
            </w:r>
          </w:p>
        </w:tc>
        <w:tc>
          <w:tcPr>
            <w:tcW w:w="2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r>
      <w:tr>
        <w:trPr>
          <w:trHeight w:val="234"/>
        </w:trPr>
        <w:tc>
          <w:tcPr>
            <w:tcW w:w="2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Impact of 100 basis point increase in market rates on fair value</w:t>
            </w:r>
          </w:p>
        </w:tc>
        <w:tc>
          <w:tcPr>
            <w:tcW w:w="2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2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$8.6 billion in variable rate debt which includes increased cost provisions due to any reduced returns with respect to the loans due to any change in capital requirements or increased costs that the lenders incur in carrying these loans as a result of any change in law and $5.4 billion of these loans, from non-U.S. entities, could be affected by changes in tax laws.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change in market interest rates would also impact interest income earned on our cash, cash equivalents and short-term investments. Assuming our cash, cash equivalents and short-term investments remain at their average 2025 levels, a 100 basis point increase in interest rates would result in a corresponding increase in the Company's interest income of approximately $140 million during 2026.</w:t>
      </w:r>
    </w:p>
    <w:p>
      <w:pPr>
        <w:spacing w:after="0" w:line="1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Commodity Price Risk (Aircraft Fuel). </w:t>
      </w:r>
      <w:r>
        <w:rPr>
          <w:rFonts w:ascii="Times New Roman" w:cs="Times New Roman" w:eastAsia="Times New Roman" w:hAnsi="Times New Roman"/>
          <w:sz w:val="18"/>
          <w:szCs w:val="18"/>
          <w:color w:val="auto"/>
        </w:rPr>
        <w:t>The price of aircraft fuel can significantly affect the Company's operations, results of operations, financial 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liquidity.</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operational and financial results can be significantly impacted by changes in the price and availability of aircraft fuel. To provide adequate supplies of fuel, the Company routinely enters into purchase contracts that are customarily indexed to market prices for aircraft fuel, and the Company generally has some ability to cover short-term fuel supply and infrastructure disruptions at some major demand locations. The Company's current strategy is to not enter into transactions to hedge fuel price volatility, although the Company regularly reviews its policy based on market conditions and other factors. A one-dollar change in the price of a barrel of aircraft fuel would change the Company's 2026 projected fuel expense by approximately $116 million.</w:t>
      </w:r>
    </w:p>
    <w:p>
      <w:pPr>
        <w:spacing w:after="0" w:line="1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w:t>
      </w:r>
      <w:r>
        <w:rPr>
          <w:rFonts w:ascii="Times New Roman" w:cs="Times New Roman" w:eastAsia="Times New Roman" w:hAnsi="Times New Roman"/>
          <w:sz w:val="18"/>
          <w:szCs w:val="18"/>
          <w:color w:val="auto"/>
        </w:rPr>
        <w:t>The Company generates revenues and incurs expenses in numerous foreign currencies. Changes in foreign currency exchange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the Company's results of operations through changes in the dollar value of foreign currency-denominated operating revenues and expenses. Some of the Company's more significant foreign currency exposures include the Canadian dollar, European euro, Japanese yen, Chinese renminbi, Brazilian real and Mexican peso. The Company's current strategy is to not enter into transactions to hedge its foreign currency exposure, although the Company regularly reviews its policy based on market conditions and other factors.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result of a uniform 1% strengthening in the value of the U.S. dollar from December 31, 2025 levels relative to each of the currencies in which the Company has foreign currency exposure would result in a decrease in pre-tax income of approximately $12 million for the year ending December 31, 2026. This sensitivity analysis was prepared based upon projected 2026 foreign currency-denominated revenues and expenses as of December 31, 2025.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3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29"/>
        </w:trPr>
        <w:tc>
          <w:tcPr>
            <w:tcW w:w="320" w:type="dxa"/>
            <w:vAlign w:val="bottom"/>
          </w:tcPr>
          <w:p>
            <w:pPr>
              <w:spacing w:after="0"/>
              <w:rPr>
                <w:sz w:val="19"/>
                <w:szCs w:val="19"/>
                <w:color w:val="auto"/>
              </w:rPr>
            </w:pPr>
          </w:p>
        </w:tc>
        <w:tc>
          <w:tcPr>
            <w:tcW w:w="95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5260" w:type="dxa"/>
            <w:vAlign w:val="bottom"/>
            <w:tcBorders>
              <w:top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rPr>
              <w:t>United Airlines Holdings, Inc.:</w:t>
            </w:r>
          </w:p>
        </w:tc>
        <w:tc>
          <w:tcPr>
            <w:tcW w:w="4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Statements of Consolidated Operations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Statements of Consolidated Comprehensive Income (Loss)</w:t>
            </w:r>
          </w:p>
        </w:tc>
        <w:tc>
          <w:tcPr>
            <w:tcW w:w="5120" w:type="dxa"/>
            <w:vAlign w:val="bottom"/>
            <w:gridSpan w:val="5"/>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120" w:type="dxa"/>
            <w:vAlign w:val="bottom"/>
            <w:gridSpan w:val="5"/>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Statements of Consolidated Cash Flows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Statement of Consolidated Stockholders' Equity</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5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United Airlines, Inc.:</w:t>
            </w:r>
          </w:p>
        </w:tc>
        <w:tc>
          <w:tcPr>
            <w:tcW w:w="8040" w:type="dxa"/>
            <w:vAlign w:val="bottom"/>
            <w:gridSpan w:val="16"/>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Statements of Consolidated Operations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Statements of Consolidated Comprehensive Income (Loss)</w:t>
            </w:r>
          </w:p>
        </w:tc>
        <w:tc>
          <w:tcPr>
            <w:tcW w:w="5120" w:type="dxa"/>
            <w:vAlign w:val="bottom"/>
            <w:gridSpan w:val="5"/>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120" w:type="dxa"/>
            <w:vAlign w:val="bottom"/>
            <w:gridSpan w:val="5"/>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Statements of Consolidated Cash Flows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Statement of Consolidated Stockholder's Equity</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8"/>
                <w:szCs w:val="18"/>
                <w:color w:val="auto"/>
              </w:rPr>
            </w:pPr>
          </w:p>
        </w:tc>
      </w:tr>
      <w:tr>
        <w:trPr>
          <w:trHeight w:val="20"/>
        </w:trPr>
        <w:tc>
          <w:tcPr>
            <w:tcW w:w="540" w:type="dxa"/>
            <w:vAlign w:val="bottom"/>
            <w:gridSpan w:val="2"/>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Combined Notes to Consolidated Financial Statements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 1 - Basis of Presentation and Significant Accounting Policies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2 - Revenue Recognition</w:t>
            </w:r>
          </w:p>
        </w:tc>
        <w:tc>
          <w:tcPr>
            <w:tcW w:w="4580" w:type="dxa"/>
            <w:vAlign w:val="bottom"/>
            <w:gridSpan w:val="3"/>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Note 3 - Common Stockholders' Equity and Preferred Securities</w:t>
            </w:r>
          </w:p>
        </w:tc>
        <w:tc>
          <w:tcPr>
            <w:tcW w:w="4740" w:type="dxa"/>
            <w:vAlign w:val="bottom"/>
            <w:gridSpan w:val="4"/>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 4 - Earnings Per Share</w:t>
            </w:r>
          </w:p>
        </w:tc>
        <w:tc>
          <w:tcPr>
            <w:tcW w:w="4740" w:type="dxa"/>
            <w:vAlign w:val="bottom"/>
            <w:gridSpan w:val="4"/>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 5 - Share-Based Compensation Plans</w:t>
            </w:r>
          </w:p>
        </w:tc>
        <w:tc>
          <w:tcPr>
            <w:tcW w:w="6300" w:type="dxa"/>
            <w:vAlign w:val="bottom"/>
            <w:gridSpan w:val="8"/>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Note 6 - Accumulated Other Comprehensive Income (Loss) ("AOCI")</w:t>
            </w:r>
          </w:p>
        </w:tc>
        <w:tc>
          <w:tcPr>
            <w:tcW w:w="4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7 - Income Taxes</w:t>
            </w:r>
          </w:p>
        </w:tc>
        <w:tc>
          <w:tcPr>
            <w:tcW w:w="4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Note 8 - Pension, Postretirement and Other Employee Benefit Plans</w:t>
            </w:r>
          </w:p>
        </w:tc>
        <w:tc>
          <w:tcPr>
            <w:tcW w:w="4480" w:type="dxa"/>
            <w:vAlign w:val="bottom"/>
            <w:gridSpan w:val="2"/>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Note 9 - Fair Value Measurements, Investments and Notes Receivable</w:t>
            </w:r>
          </w:p>
        </w:tc>
        <w:tc>
          <w:tcPr>
            <w:tcW w:w="4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10 - Debt</w:t>
            </w:r>
          </w:p>
        </w:tc>
        <w:tc>
          <w:tcPr>
            <w:tcW w:w="4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Note 11 - Leases</w:t>
            </w:r>
          </w:p>
        </w:tc>
        <w:tc>
          <w:tcPr>
            <w:tcW w:w="8160" w:type="dxa"/>
            <w:vAlign w:val="bottom"/>
            <w:gridSpan w:val="17"/>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 12 - Commitments, Contingencies and Guarantees</w:t>
            </w:r>
          </w:p>
        </w:tc>
        <w:tc>
          <w:tcPr>
            <w:tcW w:w="5340" w:type="dxa"/>
            <w:vAlign w:val="bottom"/>
            <w:gridSpan w:val="6"/>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8"/>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 13 - Special Charges (Credits)</w:t>
            </w:r>
          </w:p>
        </w:tc>
        <w:tc>
          <w:tcPr>
            <w:tcW w:w="5340" w:type="dxa"/>
            <w:vAlign w:val="bottom"/>
            <w:gridSpan w:val="6"/>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United Airlines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United Airlines Holdings, Inc. (the "Company") as of December 31, 2025 and 2024, the related statements of consolidated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12, 2026, expressed an unqualified opinion thereon.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is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(China Route Authority) Impairment Analysis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jc w:val="both"/>
        <w:ind w:left="2240"/>
        <w:spacing w:after="0" w:line="252" w:lineRule="auto"/>
        <w:rPr>
          <w:sz w:val="20"/>
          <w:szCs w:val="20"/>
          <w:color w:val="auto"/>
        </w:rPr>
      </w:pPr>
      <w:r>
        <w:rPr>
          <w:rFonts w:ascii="Times New Roman" w:cs="Times New Roman" w:eastAsia="Times New Roman" w:hAnsi="Times New Roman"/>
          <w:sz w:val="18"/>
          <w:szCs w:val="18"/>
          <w:color w:val="auto"/>
        </w:rPr>
        <w:t>As discussed in Note 1 of the consolidated financial statements, indefinite-lived assets are reviewed for impairment on an annual basis as of October 1, or more frequently if events or circumstances indicate that the asset may be impaired. For the Company's China route authority, the Company performed a quantitative assessment which involved determining the fair value of the asset and comparing that amount to the asset’s carrying value. At December 31, 2025, the carrying value of the Company's China route authority indefinite-lived intangible asset (the China intangible asset) was $1.0 billion.</w:t>
      </w:r>
    </w:p>
    <w:p>
      <w:pPr>
        <w:spacing w:after="0" w:line="200" w:lineRule="exact"/>
        <w:rPr>
          <w:sz w:val="20"/>
          <w:szCs w:val="20"/>
          <w:color w:val="auto"/>
        </w:rPr>
      </w:pPr>
    </w:p>
    <w:p>
      <w:pPr>
        <w:spacing w:after="0" w:line="300" w:lineRule="exact"/>
        <w:rPr>
          <w:sz w:val="20"/>
          <w:szCs w:val="20"/>
          <w:color w:val="auto"/>
        </w:rPr>
      </w:pPr>
    </w:p>
    <w:p>
      <w:pPr>
        <w:jc w:val="both"/>
        <w:ind w:left="2240"/>
        <w:spacing w:after="0" w:line="258" w:lineRule="auto"/>
        <w:rPr>
          <w:sz w:val="20"/>
          <w:szCs w:val="20"/>
          <w:color w:val="auto"/>
        </w:rPr>
      </w:pPr>
      <w:r>
        <w:rPr>
          <w:rFonts w:ascii="Times New Roman" w:cs="Times New Roman" w:eastAsia="Times New Roman" w:hAnsi="Times New Roman"/>
          <w:sz w:val="18"/>
          <w:szCs w:val="18"/>
          <w:color w:val="auto"/>
        </w:rPr>
        <w:t>Auditing management's annual China intangible asset impairment test was complex and highly judgmental due to the significant estimation required in determining the fair value of the asset. The fair value estimate was sensitive to significant assumptions such as forecasted revenues, margin and an overall discount rate, each of which is affected by expectations about future market or economic conditions. As a result of the subjectivity of the assumptions, adverse changes to management's estimates could reduce the underlying cash flows used to estimate fair value and trigger impairment charges.</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We Addressed the Matter</w:t>
      </w:r>
    </w:p>
    <w:p>
      <w:pPr>
        <w:jc w:val="both"/>
        <w:ind w:left="2240" w:hanging="2213"/>
        <w:spacing w:after="0" w:line="253" w:lineRule="auto"/>
        <w:tabs>
          <w:tab w:leader="none" w:pos="2220" w:val="left"/>
        </w:tabs>
        <w:rPr>
          <w:sz w:val="20"/>
          <w:szCs w:val="20"/>
          <w:color w:val="auto"/>
        </w:rPr>
      </w:pPr>
      <w:r>
        <w:rPr>
          <w:rFonts w:ascii="Times New Roman" w:cs="Times New Roman" w:eastAsia="Times New Roman" w:hAnsi="Times New Roman"/>
          <w:sz w:val="18"/>
          <w:szCs w:val="18"/>
          <w:i w:val="1"/>
          <w:iCs w:val="1"/>
          <w:color w:val="auto"/>
        </w:rPr>
        <w:t>in Our Audit</w:t>
      </w:r>
      <w:r>
        <w:rPr>
          <w:sz w:val="20"/>
          <w:szCs w:val="20"/>
          <w:color w:val="auto"/>
        </w:rPr>
        <w:tab/>
      </w:r>
      <w:r>
        <w:rPr>
          <w:rFonts w:ascii="Times New Roman" w:cs="Times New Roman" w:eastAsia="Times New Roman" w:hAnsi="Times New Roman"/>
          <w:sz w:val="18"/>
          <w:szCs w:val="18"/>
          <w:color w:val="auto"/>
        </w:rPr>
        <w:t>We tested the Company's design and operating effectiveness of internal controls that address the risk of material misstatement relating to the estimate of fair value of the China intangible asset used in the annual impairment test. This included testing controls over management's review of the significant assumptions used in the discounted cash flow methodology, including forecasted revenues, margin and the overall discount rate.</w:t>
      </w:r>
    </w:p>
    <w:p>
      <w:pPr>
        <w:spacing w:after="0" w:line="336" w:lineRule="exact"/>
        <w:rPr>
          <w:sz w:val="20"/>
          <w:szCs w:val="20"/>
          <w:color w:val="auto"/>
        </w:rPr>
      </w:pPr>
    </w:p>
    <w:p>
      <w:pPr>
        <w:jc w:val="both"/>
        <w:ind w:left="2240"/>
        <w:spacing w:after="0" w:line="255" w:lineRule="auto"/>
        <w:rPr>
          <w:sz w:val="20"/>
          <w:szCs w:val="20"/>
          <w:color w:val="auto"/>
        </w:rPr>
      </w:pPr>
      <w:r>
        <w:rPr>
          <w:rFonts w:ascii="Times New Roman" w:cs="Times New Roman" w:eastAsia="Times New Roman" w:hAnsi="Times New Roman"/>
          <w:sz w:val="18"/>
          <w:szCs w:val="18"/>
          <w:color w:val="auto"/>
        </w:rPr>
        <w:t>To test the estimated fair value of the Company's China intangible asset, we performed audit procedures that included, among others, assessing the fair value methodology used by management and evaluating the significant assumptions used in the valuation model. We compared significant assumptions to current industry, market and economic trends, and to the Company's historical results. We assessed the historical accuracy of management's estimates and performed sensitivity analyses of significant assumptions to evaluate the changes in the fair value of the China intangible asset that would result from changes in assumptions. We also involved a valuation specialist to assist in our evaluation of the Company's overall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the Board of Directors of United Airlines,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United Airlines, Inc. (the "Company") as of December 31, 2025 and 2024, the related statements of consolidated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right="40"/>
        <w:spacing w:after="0" w:line="268" w:lineRule="auto"/>
        <w:rPr>
          <w:sz w:val="20"/>
          <w:szCs w:val="20"/>
          <w:color w:val="auto"/>
        </w:rPr>
      </w:pPr>
      <w:r>
        <w:rPr>
          <w:rFonts w:ascii="Times New Roman" w:cs="Times New Roman" w:eastAsia="Times New Roman" w:hAnsi="Times New Roman"/>
          <w:sz w:val="18"/>
          <w:szCs w:val="18"/>
          <w:i w:val="1"/>
          <w:iCs w:val="1"/>
          <w:color w:val="auto"/>
        </w:rPr>
        <w:t>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(China Route Authority) Impairment Analysis</w:t>
      </w:r>
    </w:p>
    <w:p>
      <w:pPr>
        <w:spacing w:after="0" w:line="2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discussed in Note 1 of the consolidated financial statements, indefinite-lived assets are reviewed for impairment on an annual basis as of October 1, or more frequently if events or circumstances indicate that the asset may be impaired. For the Company's China route authority, the Company performed a quantitative assessment which involved determining the fair value of the asset and comparing that amount to the asset's carrying value. At December 31, 2025, the carrying value of the Company's China route authority indefinite-lived intangible asset (the China intangible asset) was $1.0 billion.</w:t>
      </w:r>
    </w:p>
    <w:p>
      <w:pPr>
        <w:spacing w:after="0" w:line="200" w:lineRule="exact"/>
        <w:rPr>
          <w:sz w:val="20"/>
          <w:szCs w:val="20"/>
          <w:color w:val="auto"/>
        </w:rPr>
      </w:pPr>
    </w:p>
    <w:p>
      <w:pPr>
        <w:spacing w:after="0" w:line="2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management's annual China intangible asset impairment test was complex and highly judgmental due to the significant estimation required in determining the fair value of the asset. The fair value estimate was sensitive to significant assumptions such as forecasted revenues, margin and an overall discount rate, each of which is affected by expectations about future market or economic conditions. As a result of the subjectivity of the assumptions, adverse changes to management's estimates could reduce the underlying cash flows used to estimate fair value and trigger impairment charges.</w:t>
      </w:r>
    </w:p>
    <w:p>
      <w:pPr>
        <w:spacing w:after="0" w:line="200" w:lineRule="exact"/>
        <w:rPr>
          <w:sz w:val="20"/>
          <w:szCs w:val="20"/>
          <w:color w:val="auto"/>
        </w:rPr>
      </w:pP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tested the Company's design and operating effectiveness of internal controls that address the risk of material misstatement relating to the estimate of fair value of the China intangible asset used in the annual impairment test. This included testing controls over management's review of the significant assumptions used in the discounted cash flow methodology, including forecasted revenues, margin and the overall discount rate.</w:t>
      </w:r>
    </w:p>
    <w:p>
      <w:pPr>
        <w:spacing w:after="0" w:line="3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test the estimated fair value of the Company's China intangible asset, we performed audit procedures that included, among others, assessing the fair value methodology used by management and evaluating the significant assumptions used in the valuation model. We compared significant assumptions to current industry, market and economic trends, and to the Company's historical results. We assessed the historical accuracy of management's estimates and performed sensitivity analyses of significant assumptions to evaluate the changes in the fair value of the China intangible asset that would result from changes in assumptions. We also involved a valuation specialist to assist in our evaluation of the Company's overall discount rate.</w:t>
      </w:r>
    </w:p>
    <w:p>
      <w:pPr>
        <w:spacing w:after="0" w:line="200" w:lineRule="exact"/>
        <w:rPr>
          <w:sz w:val="20"/>
          <w:szCs w:val="20"/>
          <w:color w:val="auto"/>
        </w:rPr>
      </w:pPr>
    </w:p>
    <w:p>
      <w:pPr>
        <w:sectPr>
          <w:pgSz w:w="11900" w:h="16838" w:orient="portrait"/>
          <w:cols w:equalWidth="0" w:num="2">
            <w:col w:w="1860" w:space="420"/>
            <w:col w:w="8940"/>
          </w:cols>
          <w:pgMar w:left="320" w:top="1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Passenger revenue</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Cargo revenue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operating revenue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53,717</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fuel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expenses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rent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Special charges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49,506</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capitalized</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Miscellaneous, net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Earnings per share, basic</w:t>
            </w: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tcBorders>
              <w:top w:val="single" w:sz="8" w:color="CCEEFF"/>
            </w:tcBorders>
            <w:vMerge w:val="continue"/>
          </w:tcPr>
          <w:p>
            <w:pPr>
              <w:spacing w:after="0"/>
              <w:rPr>
                <w:sz w:val="17"/>
                <w:szCs w:val="17"/>
                <w:color w:val="auto"/>
              </w:rPr>
            </w:pPr>
          </w:p>
        </w:tc>
        <w:tc>
          <w:tcPr>
            <w:tcW w:w="1020" w:type="dxa"/>
            <w:vAlign w:val="bottom"/>
            <w:tcBorders>
              <w:top w:val="single" w:sz="8" w:color="auto"/>
              <w:bottom w:val="single" w:sz="8" w:color="auto"/>
            </w:tcBorders>
          </w:tcPr>
          <w:p>
            <w:pPr>
              <w:jc w:val="right"/>
              <w:ind w:right="8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left="3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UNITED AIRLINES HOLDINGS, INC. STATEMENTS OF CONSOLIDATED COMPREHENSIVE INCOME (LOSS) (In millions)</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6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6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70"/>
        </w:trPr>
        <w:tc>
          <w:tcPr>
            <w:tcW w:w="6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plans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and other</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Aircraft fuel, spare parts and supplies,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property and equipment,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affiliates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noncurrent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Advance ticket sales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maturities of long-term debt, finance leases, and other financial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 finance leases, and other financial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0" w:type="dxa"/>
            <w:vAlign w:val="bottom"/>
          </w:tcPr>
          <w:p>
            <w:pPr>
              <w:spacing w:after="0"/>
              <w:rPr>
                <w:sz w:val="1"/>
                <w:szCs w:val="1"/>
                <w:color w:val="auto"/>
              </w:rPr>
            </w:pPr>
          </w:p>
        </w:tc>
      </w:tr>
      <w:tr>
        <w:trPr>
          <w:trHeight w:val="229"/>
        </w:trPr>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30"/>
        </w:trPr>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Pension and postretirement benefit liability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38,094</w:t>
            </w:r>
          </w:p>
        </w:tc>
        <w:tc>
          <w:tcPr>
            <w:tcW w:w="0" w:type="dxa"/>
            <w:vAlign w:val="bottom"/>
          </w:tcPr>
          <w:p>
            <w:pPr>
              <w:spacing w:after="0"/>
              <w:rPr>
                <w:sz w:val="1"/>
                <w:szCs w:val="1"/>
                <w:color w:val="auto"/>
              </w:rPr>
            </w:pP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Preferred stock</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at par, $0.01 par value; authorized 1,000,000,000 shares; outstanding 323,470,682 and</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327,899,771 shares at December 31, 2025 and 2024, respectively</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capital invested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held in treasury, at cost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STATEMENTS OF CONSOLIDATED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0" w:type="dxa"/>
            <w:vAlign w:val="bottom"/>
          </w:tcPr>
          <w:p>
            <w:pPr>
              <w:spacing w:after="0"/>
              <w:rPr>
                <w:sz w:val="1"/>
                <w:szCs w:val="1"/>
                <w:color w:val="auto"/>
              </w:rPr>
            </w:pPr>
          </w:p>
        </w:tc>
      </w:tr>
      <w:tr>
        <w:trPr>
          <w:trHeight w:val="213"/>
        </w:trPr>
        <w:tc>
          <w:tcPr>
            <w:tcW w:w="7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 -</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income tax</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Operating and non-operating special charges, non-cash portion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Unrealized (gains) losses on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Changes in operating assets and liabilities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prepaids and other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(decrease) in advance ticket sales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frequent flyer deferred revenue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in accounts payable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 net of flight equipment purchase deposit returns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and other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short-term and other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0" w:type="dxa"/>
            <w:vAlign w:val="bottom"/>
          </w:tcPr>
          <w:p>
            <w:pPr>
              <w:spacing w:after="0"/>
              <w:rPr>
                <w:sz w:val="1"/>
                <w:szCs w:val="1"/>
                <w:color w:val="auto"/>
              </w:rPr>
            </w:pP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and other financial liabilities, net of discounts and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long-term debt, finance leases and other financial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0" w:type="dxa"/>
            <w:vAlign w:val="bottom"/>
          </w:tcPr>
          <w:p>
            <w:pPr>
              <w:spacing w:after="0"/>
              <w:rPr>
                <w:sz w:val="1"/>
                <w:szCs w:val="1"/>
                <w:color w:val="auto"/>
              </w:rPr>
            </w:pPr>
          </w:p>
        </w:tc>
      </w:tr>
      <w:tr>
        <w:trPr>
          <w:trHeight w:val="20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0" w:type="dxa"/>
            <w:vAlign w:val="bottom"/>
          </w:tcPr>
          <w:p>
            <w:pPr>
              <w:spacing w:after="0"/>
              <w:rPr>
                <w:sz w:val="1"/>
                <w:szCs w:val="1"/>
                <w:color w:val="auto"/>
              </w:rPr>
            </w:pPr>
          </w:p>
        </w:tc>
      </w:tr>
      <w:tr>
        <w:trPr>
          <w:trHeight w:val="204"/>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0" w:type="dxa"/>
            <w:vAlign w:val="bottom"/>
          </w:tcPr>
          <w:p>
            <w:pPr>
              <w:spacing w:after="0"/>
              <w:rPr>
                <w:sz w:val="1"/>
                <w:szCs w:val="1"/>
                <w:color w:val="auto"/>
              </w:rPr>
            </w:pPr>
          </w:p>
        </w:tc>
      </w:tr>
      <w:tr>
        <w:trPr>
          <w:trHeight w:val="26"/>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Investing and Financing Activities Not Affecting Cash:</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 acquired or modified through operating leases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162"/>
        </w:trPr>
        <w:tc>
          <w:tcPr>
            <w:tcW w:w="71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Property and equipment acquired through the issuance or modification of debt, finance leases and other</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financial liabilities</w:t>
            </w: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leases converted to finance leases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0"/>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 interests received in exchange for loans, goods and services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435"/>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210"/>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CONSOLIDATED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6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86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158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86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200" w:type="dxa"/>
            <w:vAlign w:val="bottom"/>
          </w:tcPr>
          <w:p>
            <w:pPr>
              <w:spacing w:after="0"/>
              <w:rPr>
                <w:sz w:val="11"/>
                <w:szCs w:val="11"/>
                <w:color w:val="auto"/>
              </w:rPr>
            </w:pPr>
          </w:p>
        </w:tc>
        <w:tc>
          <w:tcPr>
            <w:tcW w:w="10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Invested</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0" w:type="dxa"/>
            <w:vAlign w:val="bottom"/>
          </w:tcPr>
          <w:p>
            <w:pPr>
              <w:spacing w:after="0"/>
              <w:rPr>
                <w:sz w:val="1"/>
                <w:szCs w:val="1"/>
                <w:color w:val="auto"/>
              </w:rPr>
            </w:pPr>
          </w:p>
        </w:tc>
      </w:tr>
      <w:tr>
        <w:trPr>
          <w:trHeight w:val="18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Stock-settled share-based compensation</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9"/>
        </w:trPr>
        <w:tc>
          <w:tcPr>
            <w:tcW w:w="38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Stock issued for share-based awards, net of shares withheld</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 tax</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0" w:type="dxa"/>
            <w:vAlign w:val="bottom"/>
          </w:tcPr>
          <w:p>
            <w:pPr>
              <w:spacing w:after="0"/>
              <w:rPr>
                <w:sz w:val="1"/>
                <w:szCs w:val="1"/>
                <w:color w:val="auto"/>
              </w:rPr>
            </w:pPr>
          </w:p>
        </w:tc>
      </w:tr>
      <w:tr>
        <w:trPr>
          <w:trHeight w:val="18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Stock-settled share-based compensation</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 issued for settlement of Warrants</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86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Stock issued for share-based awards, net of shares withheld</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 tax</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327.9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8,980</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12,675</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Stock-settled share-based compensation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 issued for settlement of Warrants</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8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Stock issued for share-based awards, net of shares withheld</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3"/>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 tax</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80"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Passenger revenue</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49,046</w:t>
            </w: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Cargo revenue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30"/>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operating revenue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23"/>
        </w:trPr>
        <w:tc>
          <w:tcPr>
            <w:tcW w:w="6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53,717</w:t>
            </w: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fuel</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r>
      <w:tr>
        <w:trPr>
          <w:trHeight w:val="230"/>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30"/>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expenses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30"/>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rent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Special charges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w:t>
            </w:r>
          </w:p>
        </w:tc>
      </w:tr>
      <w:tr>
        <w:trPr>
          <w:trHeight w:val="223"/>
        </w:trPr>
        <w:tc>
          <w:tcPr>
            <w:tcW w:w="6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37"/>
        </w:trPr>
        <w:tc>
          <w:tcPr>
            <w:tcW w:w="6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30"/>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30"/>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capitalized</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Miscellaneous,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0"/>
        </w:trPr>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8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8"/>
        </w:trPr>
        <w:tc>
          <w:tcPr>
            <w:tcW w:w="6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57"/>
        </w:trPr>
        <w:tc>
          <w:tcPr>
            <w:tcW w:w="6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plans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and other</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8"/>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Aircraft fuel, spare parts and supplies,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property and equipment,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affiliates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noncurrent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Advance ticket sales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maturities of long-term debt, finance leases, and other financial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 finance leases, and other financial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0" w:type="dxa"/>
            <w:vAlign w:val="bottom"/>
          </w:tcPr>
          <w:p>
            <w:pPr>
              <w:spacing w:after="0"/>
              <w:rPr>
                <w:sz w:val="1"/>
                <w:szCs w:val="1"/>
                <w:color w:val="auto"/>
              </w:rPr>
            </w:pPr>
          </w:p>
        </w:tc>
      </w:tr>
      <w:tr>
        <w:trPr>
          <w:trHeight w:val="230"/>
        </w:trPr>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29"/>
        </w:trPr>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Pension and postretirement benefit liability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0" w:type="dxa"/>
            <w:vAlign w:val="bottom"/>
          </w:tcPr>
          <w:p>
            <w:pPr>
              <w:spacing w:after="0"/>
              <w:rPr>
                <w:sz w:val="1"/>
                <w:szCs w:val="1"/>
                <w:color w:val="auto"/>
              </w:rPr>
            </w:pP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at par, $0.01 par value; authorized 1,000 shares; issued and outstanding 1,000 shares at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3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capital invested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Payable to parent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STATEMENTS OF CONSOLIDATED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213"/>
        </w:trPr>
        <w:tc>
          <w:tcPr>
            <w:tcW w:w="7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 -</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income tax</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Operating and non-operating special charges, non-cash portion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Unrealized (gains) losses on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Changes in operating assets and liabilities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prepaids and other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(decrease) in advance ticket sales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frequent flyer deferred revenue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in accounts payable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Decrease in intercompany payable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0" w:type="dxa"/>
            <w:vAlign w:val="bottom"/>
          </w:tcPr>
          <w:p>
            <w:pPr>
              <w:spacing w:after="0"/>
              <w:rPr>
                <w:sz w:val="1"/>
                <w:szCs w:val="1"/>
                <w:color w:val="auto"/>
              </w:rPr>
            </w:pP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net of flight equipment purchase deposit returns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and other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short-term and other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and other financial liabilities, net of discounts and fees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long-term debt, finance leases and other financial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0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0" w:type="dxa"/>
            <w:vAlign w:val="bottom"/>
          </w:tcPr>
          <w:p>
            <w:pPr>
              <w:spacing w:after="0"/>
              <w:rPr>
                <w:sz w:val="1"/>
                <w:szCs w:val="1"/>
                <w:color w:val="auto"/>
              </w:rPr>
            </w:pPr>
          </w:p>
        </w:tc>
      </w:tr>
      <w:tr>
        <w:trPr>
          <w:trHeight w:val="204"/>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0" w:type="dxa"/>
            <w:vAlign w:val="bottom"/>
          </w:tcPr>
          <w:p>
            <w:pPr>
              <w:spacing w:after="0"/>
              <w:rPr>
                <w:sz w:val="1"/>
                <w:szCs w:val="1"/>
                <w:color w:val="auto"/>
              </w:rPr>
            </w:pPr>
          </w:p>
        </w:tc>
      </w:tr>
      <w:tr>
        <w:trPr>
          <w:trHeight w:val="26"/>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Investing and Financing Activities Not Affecting Cash:</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2"/>
        </w:trPr>
        <w:tc>
          <w:tcPr>
            <w:tcW w:w="7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 acquired or modified through operating leases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162"/>
        </w:trPr>
        <w:tc>
          <w:tcPr>
            <w:tcW w:w="71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Property and equipment acquired through the issuance or modification of debt, finance leases and other</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129"/>
        </w:trPr>
        <w:tc>
          <w:tcPr>
            <w:tcW w:w="71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financial liabilities</w:t>
            </w:r>
          </w:p>
        </w:tc>
        <w:tc>
          <w:tcPr>
            <w:tcW w:w="2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1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leases converted to finance leases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0"/>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 interests received in exchange for loans, goods and services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421"/>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210"/>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STATEMENTS OF CONSOLIDATED STOCKHOLDER'S EQUITY</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from) Payable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to Related</w:t>
            </w: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Invested</w:t>
            </w: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Parties, Net</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0" w:type="dxa"/>
            <w:vAlign w:val="bottom"/>
          </w:tcPr>
          <w:p>
            <w:pPr>
              <w:spacing w:after="0"/>
              <w:rPr>
                <w:sz w:val="1"/>
                <w:szCs w:val="1"/>
                <w:color w:val="auto"/>
              </w:rPr>
            </w:pPr>
          </w:p>
        </w:tc>
      </w:tr>
      <w:tr>
        <w:trPr>
          <w:trHeight w:val="207"/>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Stock-settled share-based compensation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9,294</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Stock-settled share-based compensation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Impact of UAL share repurchase</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12,644</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Stock-settled share-based compensation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Impact of UAL share repurchase</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15,254</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80" w:right="6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COMBINED NOTES TO CONSOLIDATED FINANCIAL STATEMENTS</w:t>
      </w:r>
    </w:p>
    <w:p>
      <w:pPr>
        <w:spacing w:after="0" w:line="171" w:lineRule="exact"/>
        <w:rPr>
          <w:sz w:val="20"/>
          <w:szCs w:val="20"/>
          <w:color w:val="auto"/>
        </w:rPr>
      </w:pPr>
    </w:p>
    <w:p>
      <w:pPr>
        <w:ind w:right="4300"/>
        <w:spacing w:after="0" w:line="440" w:lineRule="auto"/>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 Basis of Presentation</w:t>
      </w:r>
    </w:p>
    <w:p>
      <w:pPr>
        <w:spacing w:after="0" w:line="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incorporated in Delaware and its wholly-owned subsidiary is United Airlines, Inc. (together with its consolidated subsidiaries, "United").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of America ("GAAP"). The Company consolidates variable interest entities when it determines that it is the primary beneficiary of those entities' operations. All material intercompany accounts and transactions have been eliminated in consolidation. Certain prior period amounts have been reclassified to conform to the current period presentation.</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2025, the Company changed its rounding presentation to the nearest whole number in millions of reported amounts, except per share data or as otherwise designated. As such, certain columns and rows within the financial statements and tables presented may not sum due to rounding. Per unit amounts have been calculated from the underlying whole-dollar amounts. This change is not material and does not impact the comparability of our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these financial statements and accompanying notes. Actual results could differ from those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with separate financial information, which are evaluated regularly by the chief operating decision maker ("CODM") and are used to assess performance and allocate resources. The Company manages its operations as one segment. Managing the Company as one segment allows management the opportunity to maximize the value of its route network and maximize the Company's consolidated financial results. The Company deploys its aircraft across its route network through a single route scheduling system to maximize its value. The Company's chief executive officer is its CODM. When making resource allocation decisions for the network, the Company's CODM evaluates flight profitability data, which considers aircraft type and route economics. The CODM assesses performance of the Company and makes resource allocation decisions based on net income as reported in the Company's statement of consolidated operations. Within the statement of consolidated operations, Other expenses represent various purchased services related to the operations of the airline such as ground handling, passenger services, food and beverage offerings, navigation fees, personnel-related costs and information technology projects. The measure of segment assets is reported on the consolidated balance sheet as Total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w:t>
      </w:r>
      <w:r>
        <w:rPr>
          <w:rFonts w:ascii="Times New Roman" w:cs="Times New Roman" w:eastAsia="Times New Roman" w:hAnsi="Times New Roman"/>
          <w:sz w:val="18"/>
          <w:szCs w:val="18"/>
          <w:color w:val="auto"/>
        </w:rPr>
        <w:t>Highly liquid investments with a maturity of three months or less on their acquisition date are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cash and cash equivalents. Restricted cash is classified as current or noncurrent in the consolidated balance sheets based on the expected timing of return of the assets to the Company or payment to an outside party. The restricted cash balances primarily include collateral for letters of credit and collateral associated with facility leases and certain insurance-related obligations.</w:t>
      </w:r>
    </w:p>
    <w:p>
      <w:pPr>
        <w:spacing w:after="0" w:line="12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statements of consolidated cash flows (in millions):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7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29"/>
        </w:trPr>
        <w:tc>
          <w:tcPr>
            <w:tcW w:w="7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Restricted cash in Prepaid expenses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Restricted cash in Investments in affiliates and other,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1"/>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Highly liquid investments with maturities of greater than three months, but not beyond one year, at the time of purchase are classified as short-term investments and are stated at fair value. Investments with maturities beyond one year when purchased are classified as short-term investments if they are expected to be available to support the Company's short-term liquidity needs. Short-term investments in debt securities are classified as available-for-sale and are stated at fair value. Realized gains and losses on sales of these investments are reflected in Interest income in the statements of consolidated operations. Unrealized gains and losses on available-for-sale debt securities are reflected as a component of accumulated other comprehensive income (loss). Equity investments are accounted for under the equity method if we are able to exercise significant influence over the investee. Equity investments for which we do not have significant influence are recorded at fair value or at cost, if fair value is not readily determinable, with adjustments for observable changes in price or impairments (referred to as the measurement alternative). Changes in fair value are recorded in Unrealized gains (losses) on investments, net in the statements of consolidated operations. See Note 9 of this report for additional information related to investments.</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Receivables primarily consist of amounts due from credit card companies, non-airline partners, and cargo customers. We provide an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credit losses expected to be incurred. We base our allowance on various factors including, but not limited to, aging, payment history, write-offs, macro-economic indicators and other credit monitoring indicators. Credit loss expense and write-offs related to receivables were not material for the years ended December 31, 2025, 2024 and 2023.</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Aircraft Fuel, Spare Parts and Supplies. </w:t>
      </w:r>
      <w:r>
        <w:rPr>
          <w:rFonts w:ascii="Times New Roman" w:cs="Times New Roman" w:eastAsia="Times New Roman" w:hAnsi="Times New Roman"/>
          <w:sz w:val="18"/>
          <w:szCs w:val="18"/>
          <w:color w:val="auto"/>
        </w:rPr>
        <w:t>The Company accounts for aircraft fuel, spare parts and supplies at average cost and provides an obsolescence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for aircraft spare parts with an assumed residual value of 10% of original cost. Allowance for obsolescence was $830 million and $739 million at December 31, 2025 and 2024, respectively. Obsolescence expense was $119 million, $175 million, and $102 million for the years ended December 31, 2025, 2024 and 2023, respectively, and is included in Depreciation and amortization expense in the statements of consolidated operations.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The Company records additions to owned operating property and equipment at cost when acquired. Costs related to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enhance the operating performance or extend the useful lives of airframes or engines are capitalized as property and equipment. We periodically receive credits in connection with the acquisition of aircraft and engines as well as contractual damages related to delays in delivery or operating performance issues. These credits are generally deferred and are recognized as a reduction to the cost of the related equipment.</w:t>
      </w:r>
    </w:p>
    <w:p>
      <w:pPr>
        <w:spacing w:after="0" w:line="1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Depreciation and amortization is recognized on a straight-line basis over the assets' estimated useful lives. Leasehold improvements are amortized over the shorter of the remaining term of the lease or the estimated useful life of the related asset. The estimated useful lives of property and equipment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 Useful Life (in years)</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Aircraft, spare engines and related rotable parts</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to 30</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seats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15</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to 45</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20</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15</w:t>
            </w:r>
          </w:p>
        </w:tc>
      </w:tr>
      <w:tr>
        <w:trPr>
          <w:trHeight w:val="2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to 40</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property and equipment, net at December 31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Flight equipment</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56,876</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52,696</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deposits for flight equipment</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property and equipment</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73,586</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68,031</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Less—Accumulated depreciation and amortization</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(27,466)</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w:t>
            </w: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property and equipment, net</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46,121</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42,908</w:t>
            </w:r>
          </w:p>
        </w:tc>
      </w:tr>
      <w:tr>
        <w:trPr>
          <w:trHeight w:val="20"/>
        </w:trPr>
        <w:tc>
          <w:tcPr>
            <w:tcW w:w="6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a carrying value of computer software of $455 million and $456 million, respectively. For the years ended December 31, 2025, 2024 and 2023, the Company's amortization expense related to computer software was $160 million, $155 million and $168 million, respectively. Aircraft, spare engines and related rotable parts were assumed to have residual values of approximately 10% of original cost, and other categories of property and equipment were assumed to have no residual value.</w:t>
      </w:r>
    </w:p>
    <w:p>
      <w:pPr>
        <w:spacing w:after="0" w:line="1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The Company enters into various leases as a lessee for assets including, but not limited to, airport facilities, airport gates, hangar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offices, aircraft, and various other facilities and equipment to support its operations. The Company determines if an arrangement contains a lease at inception. A lease exists when the arrangement conveys the right to control the use of an identified asset over the lease term. Upon lease commencement, the Company records a lease liability for the obligation to make lease payments and a right-of-use asset for the right to use the underlying asset for the lease term in the consolidated balance sheets. The lease liability is measured at the commencement date based on the present value of lease payments not yet paid over the lease term, which includes extension and renewal options that are reasonably certain of being exercised, discounted using an incremental borrowing rate that reflects the term of the lease and the particular economic environment at lease commencement. The right-of-use asset is based on the lease liability, adjusted for lease prepayments, lease incentives received, and the lessee's initial direct costs. The Company does not record a right-of-use asset or lease liability for leases with an initial term of 12 months or less. Lease and non-lease components are combined for all classes of underlying assets, except for capacity purchase agreements ("CPAs") which contain embedded leases for regional aircraft. For these CPAs, the Company allocates consideration to the lease and non-lease components based on their relative standalone values. Many of the Company's leases include variable lease payments, which are not included in the measurement of the right-of-use asset and lease liability. Finance lease right-of-use assets are presented together with Operating property and equipment on the consolidated balance sheets and the related amortization is included in Depreciation and amortization expense.</w:t>
      </w:r>
    </w:p>
    <w:p>
      <w:pPr>
        <w:spacing w:after="0" w:line="13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 Impairments. </w:t>
      </w:r>
      <w:r>
        <w:rPr>
          <w:rFonts w:ascii="Times New Roman" w:cs="Times New Roman" w:eastAsia="Times New Roman" w:hAnsi="Times New Roman"/>
          <w:sz w:val="18"/>
          <w:szCs w:val="18"/>
          <w:color w:val="auto"/>
        </w:rPr>
        <w:t>The Company evaluates the carrying value of long-lived assets subject to amortization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an impairment may exist. For purposes of this testing, the Company has generally identified the aircraft fleet type as the lowest level of identifiable cash flows for its mainline fleet and the contract level for its regional fleet under CPAs. An impairment charge is recognized when the asset's carrying value exceeds its net undiscounted future cash flows. The amount of the charge is the difference between the asset's carrying value and fair market value.</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The Company has finite-lived and indefinite-lived intangible assets, including goodwill. Finite-lived intangible assets are amortized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estimated useful lives. Goodwill and indefinite-lived intangible assets are not amortized but are assessed for impairment on an annual basis as of October 1, or more frequently if events or circumstances indicate that the asset may be impaired. The Company typically determines fair value using either a market approach or a variation of the income approach valuation techniques. These measurements include the following key assumptions: (1) forecasted revenues, expenses, margin and cash flows, (2) terminal period growth rate, (3) an estimated weighted average cost of capital, (4) asset-specific risk factor and (5) a tax rate. These assumptions are consistent with those that hypothetical market participants would use. We recognize an impairment when the fair value of an intangible asset is less than its carrying value.</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Company's China route authority, the Company performed a quantitative assessment which involved determining the fair value of the asset and comparing that amount to the asset's carrying value. For all other intangible assets, the Company performed a qualitative assessment of whether it was more likely than not that an impairment had occurred. To determine the fair value of the China route authority, the Company used a discounted cash flow method. Key assumptions used in the valuation model included forecasted revenues, margin and an overall discount rate. These assumptions are inherently uncertain as they relate to future events and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goodwill and other intangible assets at December 31 (in millions):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4"/>
                <w:szCs w:val="14"/>
                <w:color w:val="auto"/>
              </w:rPr>
            </w:pPr>
          </w:p>
        </w:tc>
        <w:tc>
          <w:tcPr>
            <w:tcW w:w="126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 route authority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Airport slots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Tradenames and logos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Alliances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Frequent flyer database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30"/>
        </w:trPr>
        <w:tc>
          <w:tcPr>
            <w:tcW w:w="4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Hubs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4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Amortization expense in 2025, 2024 and 2023 was $28 million, $32 million and $37 million, respectively. Projected amortization expense in 2026, 2027, 2028, 2029 and 2030 is $18 million, $11 million, $10 million, $8 million and $7 million, respectively.</w:t>
      </w:r>
    </w:p>
    <w:p>
      <w:pPr>
        <w:spacing w:after="0" w:line="10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Labor Costs. </w:t>
      </w:r>
      <w:r>
        <w:rPr>
          <w:rFonts w:ascii="Times New Roman" w:cs="Times New Roman" w:eastAsia="Times New Roman" w:hAnsi="Times New Roman"/>
          <w:sz w:val="18"/>
          <w:szCs w:val="18"/>
          <w:color w:val="auto"/>
        </w:rPr>
        <w:t>The Company records expenses associated with new or amendable labor agreements when the amounts are probable and estimable.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could include costs associated with retro-active lump sum cash payments made in conjunction with the ratification of labor agreements. To the extent these upfront costs are in lieu of future pay increases, they would be capitalized and amortized over the term of the labor agreements. If not, these amounts would be expensed. See Notes 12 and 13 of this report for additional information related to labor agreements.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The Company measures the cost of employee services received in exchange for an award of equity instruments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fair value of the award. The resulting cost is recognized over the period during which an employee is required to provide service in exchange for the award, which is usually the vesting period. Obligations for cash-settled restricted stock units ("RSUs") are remeasured at fair value throughout the requisite service period at the close of the reporting period based upon UAL's stock price. In addition to the service requirement, certain RSUs have performance metrics that must be achieved prior to vesting. These awards are accrued based on the expected level of achievement at each reporting period. An adjustment is recorded each reporting period to adjust compensation expense based on the then current level of expected performance achievement for the performance-based awards. See Note 5 of this report for additional information on UAL's share-based compensation plans.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Maintenance and Repairs</w:t>
      </w:r>
      <w:r>
        <w:rPr>
          <w:rFonts w:ascii="Times New Roman" w:cs="Times New Roman" w:eastAsia="Times New Roman" w:hAnsi="Times New Roman"/>
          <w:sz w:val="18"/>
          <w:szCs w:val="18"/>
          <w:color w:val="auto"/>
        </w:rPr>
        <w:t>. The cost of maintenance and repairs, including the cost of minor replacements, is charged to expense as incurred,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incurred under the Company's power-by-the-hour ("PBTH") engine maintenance agreements. PBTH contracts transfer certain risk to third-party service providers and fix the amount we pay per flight hour or per cycle to the service provider in exchange for maintenance and repairs under a predefined maintenance program. Under PBTH agreements, the Company recognizes expense at a level rate per engine hour, unless the level of service effort and the related payments during the period are substantially consistent, in which case the Company recognizes expense based on the amounts paid.</w:t>
      </w:r>
    </w:p>
    <w:p>
      <w:pPr>
        <w:spacing w:after="0" w:line="12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Advertising costs, which are included in Other operating expenses, are expensed as incurred. Advertising expenses were $250 million, $235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$221 million for the years ended December 31, 2025, 2024 and 2023, respectively.</w:t>
      </w:r>
    </w:p>
    <w:p>
      <w:pPr>
        <w:spacing w:after="0" w:line="104"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Third-Party Business. </w:t>
      </w:r>
      <w:r>
        <w:rPr>
          <w:rFonts w:ascii="Times New Roman" w:cs="Times New Roman" w:eastAsia="Times New Roman" w:hAnsi="Times New Roman"/>
          <w:sz w:val="18"/>
          <w:szCs w:val="18"/>
          <w:color w:val="auto"/>
        </w:rPr>
        <w:t>The Company has third-party business activity that includes ground handling, maintenance services, flight academy and frequent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flyer award non-travel redemptions. Third-party business revenue is recorded in Other operating revenue. Expenses associated with these third-party business activities are recorded in Other operating expenses, except for non-travel mileage redemptions which are recorded to Other operating revenue.</w:t>
      </w:r>
    </w:p>
    <w:p>
      <w:pPr>
        <w:spacing w:after="0" w:line="119"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Uncertain Income Tax Positions. </w:t>
      </w:r>
      <w:r>
        <w:rPr>
          <w:rFonts w:ascii="Times New Roman" w:cs="Times New Roman" w:eastAsia="Times New Roman" w:hAnsi="Times New Roman"/>
          <w:sz w:val="18"/>
          <w:szCs w:val="18"/>
          <w:color w:val="auto"/>
        </w:rPr>
        <w:t>The Company has recorded reserves for income taxes and associated interest that may become payable in future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management believes that its positions taken on income tax matters are reasonable, the Company nevertheless established tax and interest reserves in recognition that various taxing authorities may challenge certain</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of the positions taken by the Company, potentially resulting in additional liabilities for taxes and interest. The Company's uncertain tax position reserves are reviewed periodically and are adjusted as events occur that affect its estimates, such as the availability of new information, the lapsing of applicable statutes of limitation, the conclusion of tax audits, the measurement of additional estimated liability, the identification of new tax matters, the release of administrative tax guidance affecting its estimates of tax liabilities, or the rendering of relevant court decisions. The Company records penalties and interest relating to uncertain tax positions as part of income tax expense in its statements of consolidated operations. See Note 7 of this report for additional information on UAL's uncertain tax positions.</w:t>
      </w:r>
    </w:p>
    <w:p>
      <w:pPr>
        <w:spacing w:after="0" w:line="13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The Company measures certain financial assets and liabilities at fair value on a recurring basis, and certain non-financial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on a nonrecurring basis. The Company uses valuation techniques to measure fair value that maximize the use of observable inputs and minimize the use of unobservable inputs. These inputs are prioritized as follows:</w:t>
      </w:r>
    </w:p>
    <w:p>
      <w:pPr>
        <w:spacing w:after="0" w:line="54" w:lineRule="exact"/>
        <w:rPr>
          <w:sz w:val="20"/>
          <w:szCs w:val="20"/>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assets or liabilities identical to those to be reported at fair value</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Other inputs that are observable directly or indirectly, such as quoted prices for similar assets or liabilities or market-corroborated inputs</w:t>
      </w:r>
    </w:p>
    <w:p>
      <w:pPr>
        <w:spacing w:after="0" w:line="9" w:lineRule="exact"/>
        <w:rPr>
          <w:rFonts w:ascii="Times New Roman" w:cs="Times New Roman" w:eastAsia="Times New Roman" w:hAnsi="Times New Roman"/>
          <w:sz w:val="18"/>
          <w:szCs w:val="18"/>
          <w:color w:val="auto"/>
        </w:rPr>
      </w:pPr>
    </w:p>
    <w:p>
      <w:pPr>
        <w:ind w:left="660" w:right="140" w:hanging="166"/>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which there is little or no market data and which require us to develop our own assumptions about how market participants would price the assets or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Financial Accounting Standards Board ("FASB") issued Accounting Standards Update ("ASU") No.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(Topic 740): Improvements to Income Tax Disclosures." This ASU enhances disclosures related to income taxes, including the rate reconciliation and information on income taxes paid. The Company adopted the standard beginning with our annual reporting for fiscal year 2025. The adoption resulted in incremental disclosures. See Note 7 of this report for these disclosures.</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Internal-Use Software. </w:t>
      </w:r>
      <w:r>
        <w:rPr>
          <w:rFonts w:ascii="Times New Roman" w:cs="Times New Roman" w:eastAsia="Times New Roman" w:hAnsi="Times New Roman"/>
          <w:sz w:val="18"/>
          <w:szCs w:val="18"/>
          <w:color w:val="auto"/>
        </w:rPr>
        <w:t>In September 2025, the FASB issued ASU No. 2025-06, "Intangibles—Goodwill and Other—Internal-Use Software (Subtopic 350-40)." The guidance removes all references to project stages throughout ASC 350-40 and clarifies the threshold entities apply to begin capitalizing costs. This guidance requires internal-use software development cost capitalization to begin when both of the following occur: management has authorized and committed to funding the software project and, it is probable the project will be completed and the software will be used to perform its intended function. The guidance is effective for the Company for annual and interim reporting periods beginning January 1, 2028; early adoption is permitted. The Company early adopted this ASU on January 1, 2026, using the prospective transition approach, which applies this guidance to new software costs incurred starting on the adoption date. The adoption will not have a material impact on the Company's consolidated financial statements.</w:t>
      </w:r>
    </w:p>
    <w:p>
      <w:pPr>
        <w:spacing w:after="0" w:line="12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Expense Disaggregation Disclosures. </w:t>
      </w:r>
      <w:r>
        <w:rPr>
          <w:rFonts w:ascii="Times New Roman" w:cs="Times New Roman" w:eastAsia="Times New Roman" w:hAnsi="Times New Roman"/>
          <w:sz w:val="18"/>
          <w:szCs w:val="18"/>
          <w:color w:val="auto"/>
        </w:rPr>
        <w:t>In November 2024, the FASB issued ASU No. 2024-03, "Income Statement—Reporting Comprehensive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Disaggregation Disclosures (Subtopic 220-40): Disaggregation of Income Statement Expenses." This ASU requires disclosing disaggregated information about certain income statement expense captions but does not change the presentation of expense information or expense captions reported on the face of the income statement. This ASU is effective for the Company for annual reporting periods beginning January 1, 2027 and interim reporting periods beginning January 1, 2028; early adoption is permitted. The Company is assessing the impact of this ASU and upon adoption may be required to include certain additional disclosures.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Passenger Revenue. </w:t>
      </w:r>
      <w:r>
        <w:rPr>
          <w:rFonts w:ascii="Times New Roman" w:cs="Times New Roman" w:eastAsia="Times New Roman" w:hAnsi="Times New Roman"/>
          <w:sz w:val="18"/>
          <w:szCs w:val="18"/>
          <w:color w:val="auto"/>
        </w:rPr>
        <w:t>Passenger revenue is recognized when transportation is provided.</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Passenger tickets and related ancillary services sold by the Company for flights are purchased primarily via credit card transactions, with payments collected by the Company in advance of the performance of related services. The Company initially records ticket sales in its Advance ticket sales liability, deferring revenue recognition until the travel occurs. For travel that has more than one flight segment, the Company deems each segment as a separate performance obligation and recognizes revenue for each segment as travel occurs. Tickets sold by other airlines where the Company provides the transportation are recognized as passenger revenue at the estimated value to be billed to the other airline when travel is provided. Differences between amounts billed and the actual amounts may be rejected and rebilled or written off if the amount recorded was different from the original estimate. When necessary, the Company records a reserve against its billings and payables with other airlines based on historical experience.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sells certain tickets with connecting flights with one or more segments operated by its other airline partners. For segments operated by its other airline partners, the Company has determined that it is acting as an agent on behalf of the other airlines as they are responsible for their portion of the contract (i.e., transportation of the passenger). The Company, as the agent, recognizes revenue within Other operating revenue at the time of the travel for the net amount representing commission to be retained by the Company for any segments flown by other airlines.</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Refundable tickets expire after one year from the date of issuance. Non-refundable tickets generally expire on the date of the intended travel, unless the date is extended by notification from the customer on or before the intended travel date.</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United initially capitalizes the costs of selling airline travel tickets and then recognizes those costs as Distribution expense at the time of travel. Costs to sell a ticket include credit card fees, travel agency and other commissions paid, as well as global distribution systems booking fees.</w:t>
      </w:r>
    </w:p>
    <w:p>
      <w:pPr>
        <w:spacing w:after="0" w:line="10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Advance ticket sales. </w:t>
      </w:r>
      <w:r>
        <w:rPr>
          <w:rFonts w:ascii="Times New Roman" w:cs="Times New Roman" w:eastAsia="Times New Roman" w:hAnsi="Times New Roman"/>
          <w:sz w:val="18"/>
          <w:szCs w:val="18"/>
          <w:color w:val="auto"/>
        </w:rPr>
        <w:t>Advance ticket sales represent the Company's liability to provide air transportation in the future. All tickets sold at any given point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have travel dates through the next 12 months. The Company defers amounts related to future travel in its Advance ticket sales liability account.</w:t>
      </w:r>
    </w:p>
    <w:p>
      <w:pPr>
        <w:spacing w:after="0" w:line="10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Estimate of tickets not expected to be used ("ticket breakage"). </w:t>
      </w:r>
      <w:r>
        <w:rPr>
          <w:rFonts w:ascii="Times New Roman" w:cs="Times New Roman" w:eastAsia="Times New Roman" w:hAnsi="Times New Roman"/>
          <w:sz w:val="18"/>
          <w:szCs w:val="18"/>
          <w:color w:val="auto"/>
        </w:rPr>
        <w:t>The Company estimates the value of advance ticket sales that will ultimately expire unused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historical experience and qualitative factors such as recent program changes. The Company recognizes revenue related to these tickets based on the pattern in which concurrently sold tickets are used.</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2025, 2024 and 2023, the Company recognized approximately $5.8 billion, $5.3 billion and $5.7 billion, respectively, of passenger revenue for tickets that were included in Advance ticket sales at the beginning of those periods.</w:t>
      </w:r>
    </w:p>
    <w:p>
      <w:pPr>
        <w:spacing w:after="0" w:line="9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Revenue by geography. </w:t>
      </w:r>
      <w:r>
        <w:rPr>
          <w:rFonts w:ascii="Times New Roman" w:cs="Times New Roman" w:eastAsia="Times New Roman" w:hAnsi="Times New Roman"/>
          <w:sz w:val="18"/>
          <w:szCs w:val="18"/>
          <w:color w:val="auto"/>
        </w:rPr>
        <w:t>The Company further disaggregates its operating revenue by principal geographic region for the years ended December 31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in the table below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(U.S. and Canada)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Atlantic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48"/>
        </w:trPr>
        <w:tc>
          <w:tcPr>
            <w:tcW w:w="5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attributes revenue among the geographic regions based upon the origin and destination of each flight segment. The Company's operations involve an insignificant level of revenue-producing assets in geographic regions as the overwhelming majority of the Company's revenue-producing assets (primarily U.S. registered aircraft) can be deployed in any of its geographic regions.</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Ancillary services. </w:t>
      </w:r>
      <w:r>
        <w:rPr>
          <w:rFonts w:ascii="Times New Roman" w:cs="Times New Roman" w:eastAsia="Times New Roman" w:hAnsi="Times New Roman"/>
          <w:sz w:val="18"/>
          <w:szCs w:val="18"/>
          <w:color w:val="auto"/>
        </w:rPr>
        <w:t>The Company charges fees, separately from ticket sales, for certain ancillary services that are directly related to passenger travel,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baggage fees, premium seat fees, inflight amenity fees, and other ticket-related fees. These ancillary fees are part of the travel performance obligation and, as such, are recognized as Passenger revenue when the travel occurs. The Company recorded $4.8 billion, $4.5 billion and $4.1 billion of ancillary fees within Passenger revenue in the years ended December 31, 2025, 2024 and 2023, respectively.</w:t>
      </w:r>
    </w:p>
    <w:p>
      <w:pPr>
        <w:spacing w:after="0" w:line="4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Ticket taxes. </w:t>
      </w:r>
      <w:r>
        <w:rPr>
          <w:rFonts w:ascii="Times New Roman" w:cs="Times New Roman" w:eastAsia="Times New Roman" w:hAnsi="Times New Roman"/>
          <w:sz w:val="18"/>
          <w:szCs w:val="18"/>
          <w:color w:val="auto"/>
        </w:rPr>
        <w:t>Certain governmental taxes are imposed on the Company's ticket sales through a fee included in ticket prices. The Company collects these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remits them to the appropriate government agency. These fees are excluded from the contract transaction price and are therefore not included in passenger revenue. We record a liability when amounts are collected and reduce the liability when payments are made to the appropriate taxing authority.</w:t>
      </w:r>
    </w:p>
    <w:p>
      <w:pPr>
        <w:spacing w:after="0" w:line="14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Frequent Flyer Program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United's MileagePlus loyalty program builds customer loyalty by offering awards, benefits and services to program participants.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in this program earn miles for travel on United, United Express, Star Alliance members and certain other airlines that participate in the program. Members can also earn miles by purchasing goods and services from our network of non-airline partners. We have contracts to sell miles to these partners with the terms extending from approximately one to five years. These partners include domestic and international credit card issuers, retail merchants, hotels, car rental companies and our participating airline partners. Miles can be redeemed for free (other than taxes and government-imposed fees), discounted or upgraded air travel and non-travel awards.</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Miles earned in conjunction with travel. </w:t>
      </w:r>
      <w:r>
        <w:rPr>
          <w:rFonts w:ascii="Times New Roman" w:cs="Times New Roman" w:eastAsia="Times New Roman" w:hAnsi="Times New Roman"/>
          <w:sz w:val="18"/>
          <w:szCs w:val="18"/>
          <w:color w:val="auto"/>
        </w:rPr>
        <w:t>When MileagePlus members earn miles for flights, the Company recognizes a portion of the ticket sales as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travel occurs and defers a portion of the ticket sale representing the value of the related miles as a separate performance obligation. The Company determines the estimated selling price of travel and miles as if each</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performance obligation is sold on a separate basis. The total consideration from each ticket sale is then allocated to each of the performance obligations, individually, on a pro-rata basis. At the time of travel, the Company records the portion allocated to the miles to Frequent flyer deferred revenue on the Company's consolidated balance sheet and subsequently recognizes it into revenue when miles are redeemed for air travel and non-travel awards.</w:t>
      </w:r>
    </w:p>
    <w:p>
      <w:pPr>
        <w:spacing w:after="0" w:line="12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i w:val="1"/>
          <w:iCs w:val="1"/>
          <w:color w:val="auto"/>
        </w:rPr>
        <w:t>Estimate of miles not expected to be redeemed ("mileage breakage")</w:t>
      </w:r>
      <w:r>
        <w:rPr>
          <w:rFonts w:ascii="Times New Roman" w:cs="Times New Roman" w:eastAsia="Times New Roman" w:hAnsi="Times New Roman"/>
          <w:sz w:val="18"/>
          <w:szCs w:val="18"/>
          <w:color w:val="auto"/>
        </w:rPr>
        <w:t>. The Company's mileage breakage model is based on the assumption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likelihood that an account will redeem its miles can be estimated based on a consideration of the account's historical behavior. The Company uses a statistical model to estimate the probability that an account will redeem its current miles balance and reviews its mileage breakage estimates annually. The Company's estimate of the expected mileage breakage requires management judgment. Changes to mileage breakage assumptions, or to program rules and program redemption opportunities, may result in material changes to the deferred revenue balance as well as recognized revenues from the program. We recognize mileage breakage proportionally as the remaining miles are redeemed.</w:t>
      </w:r>
    </w:p>
    <w:p>
      <w:pPr>
        <w:spacing w:after="0" w:line="12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i w:val="1"/>
          <w:iCs w:val="1"/>
          <w:color w:val="auto"/>
        </w:rPr>
        <w:t>Estimated selling price of miles</w:t>
      </w:r>
      <w:r>
        <w:rPr>
          <w:rFonts w:ascii="Times New Roman" w:cs="Times New Roman" w:eastAsia="Times New Roman" w:hAnsi="Times New Roman"/>
          <w:sz w:val="18"/>
          <w:szCs w:val="18"/>
          <w:color w:val="auto"/>
        </w:rPr>
        <w:t>. The Company's estimated selling price of miles is based on an equivalent ticket value, which incorporates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of miles, as the best estimate of the selling price for these miles. The equivalent ticket value is based on the prior 12 months' weighted average equivalent ticket value of similar fares as those used to settle award redemptions while taking into consideration such factors as redemption pattern, cabin class, loyalty status and geographic region. The estimated selling price of miles is adjusted by mileage breakage that considers a number of factors, including redemption patterns of various customer groups.</w:t>
      </w:r>
    </w:p>
    <w:p>
      <w:pPr>
        <w:spacing w:after="0" w:line="13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Co-Brand agreement</w:t>
      </w:r>
      <w:r>
        <w:rPr>
          <w:rFonts w:ascii="Times New Roman" w:cs="Times New Roman" w:eastAsia="Times New Roman" w:hAnsi="Times New Roman"/>
          <w:sz w:val="18"/>
          <w:szCs w:val="18"/>
          <w:color w:val="auto"/>
        </w:rPr>
        <w:t>. United's most significant contract to sell MileagePlus miles is with its co-branded credit card partner JPMorgan Chase Bank USA,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 ("Chase"). Chase awards miles to MileagePlus members based on their credit card activity. United identified the following significant separately identifiable performance obligations in this contract (the "Co-Brand Agreement"):</w:t>
      </w:r>
    </w:p>
    <w:p>
      <w:pPr>
        <w:spacing w:after="0" w:line="40" w:lineRule="exact"/>
        <w:rPr>
          <w:sz w:val="20"/>
          <w:szCs w:val="20"/>
          <w:color w:val="auto"/>
        </w:rPr>
      </w:pPr>
    </w:p>
    <w:p>
      <w:pPr>
        <w:ind w:left="900" w:right="100" w:hanging="244"/>
        <w:spacing w:after="0" w:line="261"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operating revenue related to the non-travel awards when the goods or services are delivered. The Company records the cost associated with non-travel awards in Other operating revenue, as an agent.</w:t>
      </w:r>
    </w:p>
    <w:p>
      <w:pPr>
        <w:spacing w:after="0" w:line="58" w:lineRule="exact"/>
        <w:rPr>
          <w:rFonts w:ascii="Times New Roman" w:cs="Times New Roman" w:eastAsia="Times New Roman" w:hAnsi="Times New Roman"/>
          <w:sz w:val="18"/>
          <w:szCs w:val="18"/>
          <w:color w:val="auto"/>
        </w:rPr>
      </w:pPr>
    </w:p>
    <w:p>
      <w:pPr>
        <w:ind w:left="900" w:right="220" w:hanging="244"/>
        <w:spacing w:after="0" w:line="282"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 United has a performance obligation to provide Chase access to United's customer list and the use of United's brand. Marketing revenue is recorded to Other operating revenue as miles are delivered to Chase.</w:t>
      </w:r>
    </w:p>
    <w:p>
      <w:pPr>
        <w:spacing w:after="0" w:line="40" w:lineRule="exact"/>
        <w:rPr>
          <w:rFonts w:ascii="Times New Roman" w:cs="Times New Roman" w:eastAsia="Times New Roman" w:hAnsi="Times New Roman"/>
          <w:sz w:val="18"/>
          <w:szCs w:val="18"/>
          <w:color w:val="auto"/>
        </w:rPr>
      </w:pPr>
    </w:p>
    <w:p>
      <w:pPr>
        <w:ind w:left="900" w:hanging="244"/>
        <w:spacing w:after="0" w:line="266"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40" w:lineRule="exact"/>
        <w:rPr>
          <w:rFonts w:ascii="Times New Roman" w:cs="Times New Roman" w:eastAsia="Times New Roman" w:hAnsi="Times New Roman"/>
          <w:sz w:val="18"/>
          <w:szCs w:val="18"/>
          <w:color w:val="auto"/>
        </w:rPr>
      </w:pPr>
    </w:p>
    <w:p>
      <w:pPr>
        <w:ind w:left="900" w:right="320" w:hanging="244"/>
        <w:spacing w:after="0" w:line="266"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account for payments received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at the inception of the contract, in order to determine the allocation of proceeds to each of the components to be delivered.</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Frequent flyer deferred revenue. </w:t>
      </w:r>
      <w:r>
        <w:rPr>
          <w:rFonts w:ascii="Times New Roman" w:cs="Times New Roman" w:eastAsia="Times New Roman" w:hAnsi="Times New Roman"/>
          <w:sz w:val="18"/>
          <w:szCs w:val="18"/>
          <w:color w:val="auto"/>
        </w:rPr>
        <w:t>Miles in MileagePlus members' accounts are combined into one homogeneous pool and are thus not separately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for award redemption purposes, between miles earned in the current period and those in their beginning balance. Of the miles expected to be redeemed, the Company expects the majority of these miles to be redeemed within two years. The current portion of the Frequent flyer deferred revenue is based on expected redemptions in the next 12 months. The table below presents a roll forward of Frequent flyer deferred revenue (in millions):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 earned</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miles redeemed</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Non-travel miles redeemed</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portion of the total amounts received from our various partner agreements that is related to the MileagePlus miles awarded is deferred and presented in the table above as an increase to Frequent flyer deferred revenue. In the years ended December 31, 2025, 2024 and 2023, the Company recognized, in Other operating revenue, $3.2 billion, $2.9 billion and $2.7 billion, respectively, related to the marketing, advertising, non-travel miles redeemed (net of related costs) and other travel-related benefits of the mileage revenue associated with our various partner agreements including, but not limited to, our Co-Brand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Cargo Revenue. </w:t>
      </w:r>
      <w:r>
        <w:rPr>
          <w:rFonts w:ascii="Times New Roman" w:cs="Times New Roman" w:eastAsia="Times New Roman" w:hAnsi="Times New Roman"/>
          <w:sz w:val="18"/>
          <w:szCs w:val="18"/>
          <w:color w:val="auto"/>
        </w:rPr>
        <w:t>Cargo revenue is recognized when the related shipment arrives at its destination.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COMMON STOCKHOLDERS' EQUITY AND PREFERRED SECURITIES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On October 15, 2024, the Company announced that its Board of Directors (the "Board") authorized a new share repurchase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for purchases of up to $1.5 billion in the aggregate of outstanding UAL common stock and certain Warrants (as defined below) issued in connection with the Coronavirus Aid, Relief, and Economic Security Act (the "CARES Act"), subject to a limit of $500 million in the aggregate through 2024. In 2025, the Company repurchased 8.1 million shares of UAL common stock at an average price of $78.75 for a total investment of approximately $640 million, including commissions and taxes, as part of the program. As of February 5, 2026, the dollar value of shares that may yet be purchased under the program is approximately $0.8 billion. Unless suspended or terminated earlier by the Board, this program has no set expiration date and will therefore terminate when the Company has completed all purchases authorized under the program. The specific timing and number of shares of UAL common stock or Warrants purchased will be determined by the Company's management at its discretion and will vary based on the capital needs of the business, the market price of UAL common stock, general market conditions, securities law limitations and other factors. The purchases may be effected through a combination of one or more open market and privately negotiated transactions (including under trading plans intended to comply with Rule 10b5-1 under the Securities Exchange Act of 1934, as amended (the "Exchange Act")) as well as transactions structured through investment banking institutions and other derivative transactions (including through one or more accelerated share repurchase programs).</w:t>
      </w:r>
    </w:p>
    <w:p>
      <w:pPr>
        <w:spacing w:after="0" w:line="124"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In August 2024, the Company also repurchased, through open market repurchases, following the exercise of the Warrants described below, 2,043,906 shares of UAL common stock, which was recorded as an approximately $82 million increase to Stock held in treasury, at cost. These share repurchases were executed outside of a publicly announced plan or program using cash resources.</w:t>
      </w:r>
    </w:p>
    <w:p>
      <w:pPr>
        <w:spacing w:after="0" w:line="10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2025, approximately 3.7 million shares of UAL's common stock were reserved for future issuance related to the issuance of equity-based awards under the Company's incentive compensation plans.</w:t>
      </w:r>
    </w:p>
    <w:p>
      <w:pPr>
        <w:spacing w:after="0" w:line="12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As of December 31, 2025, UAL had two shares of junior preferred stock (par value $0.01 per share) outstanding. In addition, UAL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to issue 250 million shares of preferred stock (without par value) under UAL's amended and restated certificate of incorporation.</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2020 and 2021, the Company issued to the United States Department of the Treasury (the "U.S. Treasury") warrants ("Warrants")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9,928,349 shares of UAL common stock in connection with the Payroll Support Program ("PSP") established under Division A, Title IV, Subtitle B of the CARES Act, the Payroll Support Program Extension established under Division N, Title IV, Subtitle A of the Consolidated Appropriations Act, 2021 ("PSP2"), the Payroll Support Program 3 established under Title VII, Subtitle C of the American Rescue Plan Act of 2021 ("PSP3"), and the Airline Loan Program established under Division A, Title IV, Subtitle A of the CARES Act. In August 2024, the holder of the Warrants exercised 6,414,635 of the Warrants, with an exercise price of $31.50, in a net share settlement for 2,043,906 shares of UAL common stock. In March 2025, the remaining 3,513,714 Warrants were exercised in a net share settlement for 1,801,430 shares of UAL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computation of UAL's basic and diluted earnings per share, the latter of which uses the treasury stock method to calculate the dilutive effect of UAL's potential common stock, for the years ended December 31 (in millions, except per share amounts):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available to common stockholders</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stock Warrants (a)</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employee stock awards</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Potentially dilutive securities (b)</w:t>
            </w: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6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Warrants (a)</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6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Employee stock awards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3 of this report for additional information on these Warrants.</w:t>
      </w:r>
    </w:p>
    <w:p>
      <w:pPr>
        <w:spacing w:after="0" w:line="5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potentially dilutive securities outstanding are excluded from the computation of diluted earnings per share because the securities would have an antidilutive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SHARE-BASED COMPENSATION PLANS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UAL maintains share-based compensation plans for our management employees and our non-employee directors. These plans provide for grants of nonqualified stock options; incentive stock options (within the meaning of Section 422 of the Internal Revenue Code of 1986); stock appreciation rights ("SARs"); restricted stock; RSUs; performance units; cash incentive awards and other equity-based and equity-related awards. An award (other than an option, SAR or cash incentive award) may provide the holder with dividends or dividend equivalents.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Awards are recorded as either equity or a liability in the Company's consolidated balance sheets. Share-based compensation expense is recorded in Salaries and related costs.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2025, UAL granted share-based compensation awards pursuant to the United Airlines Holdings, Inc. 2021 Incentive Compensation Plan. These share-based compensation awards included approximately 1.8 million RSUs consisting of approximately 1.0 million time-vested RSUs and approximately 0.8 million performance-based RSUs. The time-vested RSUs vest pro-rata, a majority of which vest on February 28th of each year, over a three-year period from the date of grant. Performance-based awards vest either pro-rata, one-third each year, over a three-year period from the date of grant or all at once upon continuous employment with the Company over a three-year period. Payout under the performance-based awards can range from 0% to 300% depending on the achievement level of certain financial and strategic goals. RSUs are generally equity awards settled in stock for domestic employees and liability awards settled in cash for international employees. The cash payments are based on the 20-day average closing price of UAL common stock immediately prior to the vesting 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UAL's share-based compensation plan cost for the years ended December 31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cost</w:t>
            </w:r>
          </w:p>
        </w:tc>
        <w:tc>
          <w:tcPr>
            <w:tcW w:w="220" w:type="dxa"/>
            <w:vAlign w:val="bottom"/>
          </w:tcPr>
          <w:p>
            <w:pPr>
              <w:spacing w:after="0"/>
              <w:rPr>
                <w:sz w:val="18"/>
                <w:szCs w:val="18"/>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CCEEFF"/>
            </w:tcBorders>
          </w:tcPr>
          <w:p>
            <w:pPr>
              <w:spacing w:after="0"/>
              <w:rPr>
                <w:sz w:val="21"/>
                <w:szCs w:val="21"/>
                <w:color w:val="auto"/>
              </w:rPr>
            </w:pPr>
          </w:p>
        </w:tc>
        <w:tc>
          <w:tcPr>
            <w:tcW w:w="65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summarizes UAL's unearned compensation and weighted-average remaining period to recognize costs for all outstanding share-based awards that are probable of being achieved as of December 31, 2025 (in millions, except as noted):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14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Unearned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65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Remaining Period</w:t>
            </w:r>
          </w:p>
        </w:tc>
        <w:tc>
          <w:tcPr>
            <w:tcW w:w="0" w:type="dxa"/>
            <w:vAlign w:val="bottom"/>
          </w:tcPr>
          <w:p>
            <w:pPr>
              <w:spacing w:after="0"/>
              <w:rPr>
                <w:sz w:val="1"/>
                <w:szCs w:val="1"/>
                <w:color w:val="auto"/>
              </w:rPr>
            </w:pPr>
          </w:p>
        </w:tc>
      </w:tr>
      <w:tr>
        <w:trPr>
          <w:trHeight w:val="241"/>
        </w:trPr>
        <w:tc>
          <w:tcPr>
            <w:tcW w:w="65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9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units. </w:t>
      </w:r>
      <w:r>
        <w:rPr>
          <w:rFonts w:ascii="Times New Roman" w:cs="Times New Roman" w:eastAsia="Times New Roman" w:hAnsi="Times New Roman"/>
          <w:sz w:val="18"/>
          <w:szCs w:val="18"/>
          <w:color w:val="auto"/>
        </w:rPr>
        <w:t>The table below summarizes UAL's RSU activity for the years ended December 31 (shares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Liability Awards</w:t>
            </w:r>
          </w:p>
        </w:tc>
        <w:tc>
          <w:tcPr>
            <w:tcW w:w="316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0" w:type="dxa"/>
            <w:vAlign w:val="bottom"/>
          </w:tcPr>
          <w:p>
            <w:pPr>
              <w:spacing w:after="0"/>
              <w:rPr>
                <w:sz w:val="1"/>
                <w:szCs w:val="1"/>
                <w:color w:val="auto"/>
              </w:rPr>
            </w:pPr>
          </w:p>
        </w:tc>
      </w:tr>
      <w:tr>
        <w:trPr>
          <w:trHeight w:val="174"/>
        </w:trPr>
        <w:tc>
          <w:tcPr>
            <w:tcW w:w="60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6020" w:type="dxa"/>
            <w:vAlign w:val="bottom"/>
          </w:tcPr>
          <w:p>
            <w:pPr>
              <w:spacing w:after="0"/>
              <w:rPr>
                <w:sz w:val="16"/>
                <w:szCs w:val="16"/>
                <w:color w:val="auto"/>
              </w:rPr>
            </w:pPr>
          </w:p>
        </w:tc>
        <w:tc>
          <w:tcPr>
            <w:tcW w:w="2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6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Grant Price</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7"/>
              </w:rPr>
              <w:t>3.3</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0" w:type="dxa"/>
            <w:vAlign w:val="bottom"/>
          </w:tcPr>
          <w:p>
            <w:pPr>
              <w:spacing w:after="0"/>
              <w:rPr>
                <w:sz w:val="1"/>
                <w:szCs w:val="1"/>
                <w:color w:val="auto"/>
              </w:rPr>
            </w:pPr>
          </w:p>
        </w:tc>
      </w:tr>
      <w:tr>
        <w:trPr>
          <w:trHeight w:val="223"/>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16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7"/>
              </w:rPr>
              <w:t>2.5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(1.6)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(0.1)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7"/>
              </w:rPr>
              <w:t>4.1</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23"/>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16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7"/>
              </w:rPr>
              <w:t>3.6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(2.3)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7"/>
              </w:rPr>
              <w:t>5.1</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23"/>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7"/>
              </w:rPr>
              <w:t>1.8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(2.9)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7"/>
              </w:rPr>
              <w:t>3.8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RSUs that vested in 2025, 2024 and 2023 was approximately $135 million, $91 million and $76 million, respectively.</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2025, UAL had recorded a liability of approximately $7 million related to its cash-settled RSUs. UAL paid approximately $6 million, $2 million and $3 million related to its cash-settled RSUs during 2025, 2024 and 2023,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ACCUMULATED OTHER COMPREHENSIVE INCOME (LOSS) ("AOCI")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components of the Company's AOCI, net of tax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6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 and</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6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15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Taxes (a)</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value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 (b)</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4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value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 (b)</w:t>
            </w:r>
          </w:p>
        </w:tc>
        <w:tc>
          <w:tcPr>
            <w:tcW w:w="24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value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 (b)</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360" w:right="200" w:hanging="334"/>
        <w:spacing w:after="0" w:line="223" w:lineRule="auto"/>
        <w:tabs>
          <w:tab w:leader="none" w:pos="3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$285 million of deferred income tax expense that will not be recognized in net income until the related pension and postretirement benefit obligations are fully extinguished. We consider all income sources, including other comprehensive income, in determining the amount of tax benefit allocated to results from operations.</w:t>
      </w:r>
    </w:p>
    <w:p>
      <w:pPr>
        <w:ind w:left="360" w:right="80" w:hanging="334"/>
        <w:spacing w:after="0" w:line="239" w:lineRule="auto"/>
        <w:tabs>
          <w:tab w:leader="none" w:pos="3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AOCI component is included in the computation of net periodic pension and other postretirement costs, specifically the following components: amortization of unrecognized (gain) loss, amortization of prior service credit and other. See Note 8 of this report for additional information on pensions and other postretirement liabilities.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income tax provision differed from amounts computed at the statutory federal income tax rate and consisted of the following significant components for the years ended December 31 (in millions)</w:t>
      </w:r>
      <w:r>
        <w:rPr>
          <w:rFonts w:ascii="Times New Roman" w:cs="Times New Roman" w:eastAsia="Times New Roman" w:hAnsi="Times New Roman"/>
          <w:sz w:val="16"/>
          <w:szCs w:val="16"/>
          <w:b w:val="1"/>
          <w:bCs w:val="1"/>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904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875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711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75"/>
        </w:trPr>
        <w:tc>
          <w:tcPr>
            <w:tcW w:w="4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income tax provision, net of federal income tax benefit</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4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953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1,019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769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0"/>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0" w:right="420" w:firstLine="6"/>
        <w:spacing w:after="0" w:line="261" w:lineRule="auto"/>
        <w:tabs>
          <w:tab w:leader="none" w:pos="2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California and Colorado make up more than 50% of the state income tax expense category in 2025. California, Colorado and Illinois make up more than 50% of the state income tax expense category in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80"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consisted of the following for the years ended December 31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Current</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tax payment, net of refunds, by jurisdiction for the years ended December 31 (in million):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Illinois</w:t>
            </w: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state</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2</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Guatemala</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30"/>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foreign</w:t>
            </w:r>
          </w:p>
        </w:tc>
        <w:tc>
          <w:tcPr>
            <w:tcW w:w="8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23"/>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that give rise to deferred tax assets and liabilities as of December 31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UAL</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income tax asset (liability):</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net operating loss ("NOL") carryforwards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 including pension, postretirement and medical</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United and its domestic consolidated subsidiaries file a consolidated federal income tax return with UAL. Under an intercompany tax allocation policy, United and its subsidiaries compute, record and pay UAL for their own tax liabilities as if they were separate companies filing separate returns. In determining their own tax liabilities, United and each of its subsidiaries take into account all tax credits or benefits generated and utilized as separate companies and they are each compensated for the aforementioned tax benefits on an annual basis.</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federal and state NOL and tax credit carryforwards relate to prior years' NOLs and credits, which may be used to reduce tax liabilities in future years. These tax benefits are mostly attributable to federal pre-tax NOL carryforwards of $10.6 billion ($2.2 billion tax effected) for UAL as of December 31, 2025. If not utilized, $0.1 billion of these federal pre-tax NOLs will expire in 2029. The remaining $10.5 billion of NOLs have no expiration date. State pre-tax NOLs of $2.8 billion ($0.2 billion tax effected) as of December 31, 2025 expire over a 1 to 20-year period. As of December 31, 2025, state tax credits were $57 million. These credits will expire over a 1 to 15-year period, and an additional $5.5 million of state tax credits have no expiration date.</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recorded $108 million of valuation allowance against its capital loss deferred tax assets. Capital losses have a limited carryforward period of five years, and they can be utilized only to the extent of capital gains. The Company does not anticipate generating sufficient capital gains to utilize the losses before they expire, therefore, a valuation allowance is necessary as of December 31, 2025. Additionally, the Company recorded a valuation allowance of $44 million on certain state deferred tax assets primarily due to state NOLs that have short expiration periods.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unrecognized tax benefits related to uncertain tax positions were $74 million, $70 million and $66 million at December 31, 2025, 2024 and 2023, respectively. All of the uncertain tax positions would affect the Company's effective tax rate if recognized. Changes in unrecognized tax benefits were immaterial during 2025, 2024 and 2023. There are no material amounts included in the balance at December 31, 2025 for tax positions for which the ultimate deductibility is highly certain but for which there is uncertainty about the timing of such deductibility.</w:t>
      </w:r>
    </w:p>
    <w:p>
      <w:pPr>
        <w:spacing w:after="0" w:line="12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Company's federal income tax returns for tax years after 2000 remain subject to examination by the Internal Revenue Service and state taxing jurisdictions.</w:t>
      </w:r>
    </w:p>
    <w:p>
      <w:pPr>
        <w:spacing w:after="0" w:line="104" w:lineRule="exact"/>
        <w:rPr>
          <w:sz w:val="20"/>
          <w:szCs w:val="20"/>
          <w:color w:val="auto"/>
        </w:rPr>
      </w:pPr>
    </w:p>
    <w:p>
      <w:pPr>
        <w:ind w:right="4160"/>
        <w:spacing w:after="0" w:line="464" w:lineRule="auto"/>
        <w:rPr>
          <w:sz w:val="20"/>
          <w:szCs w:val="20"/>
          <w:color w:val="auto"/>
        </w:rPr>
      </w:pPr>
      <w:r>
        <w:rPr>
          <w:rFonts w:ascii="Times New Roman" w:cs="Times New Roman" w:eastAsia="Times New Roman" w:hAnsi="Times New Roman"/>
          <w:sz w:val="17"/>
          <w:szCs w:val="17"/>
          <w:b w:val="1"/>
          <w:bCs w:val="1"/>
          <w:color w:val="auto"/>
        </w:rPr>
        <w:t xml:space="preserve">NOTE 8 - PENSION, POSTRETIREMENT AND OTHER EMPLOYEE BENEFIT PLANS </w:t>
      </w:r>
      <w:r>
        <w:rPr>
          <w:rFonts w:ascii="Times New Roman" w:cs="Times New Roman" w:eastAsia="Times New Roman" w:hAnsi="Times New Roman"/>
          <w:sz w:val="17"/>
          <w:szCs w:val="17"/>
          <w:color w:val="auto"/>
        </w:rPr>
        <w:t>The following summarizes the significant pension and other postretirement plans of United:</w:t>
      </w: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Plans. </w:t>
      </w:r>
      <w:r>
        <w:rPr>
          <w:rFonts w:ascii="Times New Roman" w:cs="Times New Roman" w:eastAsia="Times New Roman" w:hAnsi="Times New Roman"/>
          <w:sz w:val="18"/>
          <w:szCs w:val="18"/>
          <w:color w:val="auto"/>
        </w:rPr>
        <w:t>United maintains two primary defined benefit pension plans, one covering certain pilot employees and another covering certain U.S. non-pilot employees. Each of these plans provides benefits based on a combination of years of benefit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accruals service and an employee's final average compensation. Additional benefit accruals are frozen under the plan covering certain pilot employees and for management and administrative employees covered under the non-pilot plan. Benefit accruals for certain non-pilot employees continue. United maintains additional defined benefit pension plans, which cover certain international employees.</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Postretirement Plans. </w:t>
      </w:r>
      <w:r>
        <w:rPr>
          <w:rFonts w:ascii="Times New Roman" w:cs="Times New Roman" w:eastAsia="Times New Roman" w:hAnsi="Times New Roman"/>
          <w:sz w:val="18"/>
          <w:szCs w:val="18"/>
          <w:color w:val="auto"/>
        </w:rPr>
        <w:t>United maintains postretirement medical programs which provide medical benefits to certain retirees and eligible dependents,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well as life insurance benefits to certain retirees participating in the plan. Benefits provided are subject to applicable contributions, co-payments, deductibles and other limits as described in the specific plan documentation.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Actuarial assumption changes are reflected as a component of the net actuarial (gain) loss. The 2025 actuarial losses were primarily related to expected pay increases for certain represented employees partially offset by asset performance. Actuarial (gains) losses are amortized over the average remaining service life of active covered employees.</w:t>
      </w:r>
    </w:p>
    <w:p>
      <w:pPr>
        <w:spacing w:after="0" w:line="122"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The following tables set forth the reconciliation of the beginning and ending balances of the benefit obligation and plan assets, the funded status and the amounts recognized in these financial statements for the defined benefit and other postretirement plans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222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41"/>
        </w:trPr>
        <w:tc>
          <w:tcPr>
            <w:tcW w:w="67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45"/>
        </w:trPr>
        <w:tc>
          <w:tcPr>
            <w:tcW w:w="67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Funded status—Net amount recognized</w:t>
            </w:r>
          </w:p>
        </w:tc>
        <w:tc>
          <w:tcPr>
            <w:tcW w:w="480" w:type="dxa"/>
            <w:vAlign w:val="bottom"/>
            <w:tcBorders>
              <w:top w:val="single" w:sz="8" w:color="CCEEFF"/>
              <w:bottom w:val="single" w:sz="8" w:color="auto"/>
            </w:tcBorders>
            <w:shd w:val="clear" w:color="auto" w:fill="CCEEFF"/>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4"/>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0" w:type="dxa"/>
            <w:vAlign w:val="bottom"/>
          </w:tcPr>
          <w:p>
            <w:pPr>
              <w:spacing w:after="0"/>
              <w:rPr>
                <w:sz w:val="1"/>
                <w:szCs w:val="1"/>
                <w:color w:val="auto"/>
              </w:rPr>
            </w:pPr>
          </w:p>
        </w:tc>
      </w:tr>
      <w:tr>
        <w:trPr>
          <w:trHeight w:val="223"/>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220" w:type="dxa"/>
            <w:vAlign w:val="bottom"/>
          </w:tcPr>
          <w:p>
            <w:pPr>
              <w:spacing w:after="0"/>
              <w:rPr>
                <w:sz w:val="19"/>
                <w:szCs w:val="19"/>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19"/>
                <w:szCs w:val="19"/>
                <w:color w:val="auto"/>
              </w:rPr>
            </w:pP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liability</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consist of:</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gain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2220" w:type="dxa"/>
            <w:vAlign w:val="bottom"/>
            <w:gridSpan w:val="3"/>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1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status—Net amount recognized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200" w:type="dxa"/>
            <w:vAlign w:val="bottom"/>
          </w:tcPr>
          <w:p>
            <w:pPr>
              <w:spacing w:after="0"/>
              <w:rPr>
                <w:sz w:val="19"/>
                <w:szCs w:val="19"/>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consist of:</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1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all pension plans with an accumulated benefit obligation and a projected benefit obligation in excess of plan assets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18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226"/>
        </w:trPr>
        <w:tc>
          <w:tcPr>
            <w:tcW w:w="180" w:type="dxa"/>
            <w:vAlign w:val="bottom"/>
          </w:tcPr>
          <w:p>
            <w:pPr>
              <w:spacing w:after="0"/>
              <w:rPr>
                <w:sz w:val="19"/>
                <w:szCs w:val="19"/>
                <w:color w:val="auto"/>
              </w:rPr>
            </w:pPr>
          </w:p>
        </w:tc>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7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60" w:type="dxa"/>
            <w:vAlign w:val="bottom"/>
          </w:tcPr>
          <w:p>
            <w:pPr>
              <w:spacing w:after="0"/>
              <w:rPr>
                <w:sz w:val="19"/>
                <w:szCs w:val="19"/>
                <w:color w:val="auto"/>
              </w:rPr>
            </w:pPr>
          </w:p>
        </w:tc>
      </w:tr>
      <w:tr>
        <w:trPr>
          <w:trHeight w:val="230"/>
        </w:trPr>
        <w:tc>
          <w:tcPr>
            <w:tcW w:w="18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6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7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60" w:type="dxa"/>
            <w:vAlign w:val="bottom"/>
          </w:tcPr>
          <w:p>
            <w:pPr>
              <w:spacing w:after="0"/>
              <w:rPr>
                <w:sz w:val="19"/>
                <w:szCs w:val="19"/>
                <w:color w:val="auto"/>
              </w:rPr>
            </w:pPr>
          </w:p>
        </w:tc>
      </w:tr>
      <w:tr>
        <w:trPr>
          <w:trHeight w:val="945"/>
        </w:trPr>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6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benefit cost (credit) for the years ended December 31 included the following components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93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935"/>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915"/>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Pension Benefits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unrecognized actuarial (gain)</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(credits) cost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Service cost is recorded in Salaries and related costs on the statement of consolidated operations. All other components of net periodic benefit costs are recorded in Miscellaneous, net on the statement of consolidated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assumptions used for the benefit plans were as follows:</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7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960" w:type="dxa"/>
            <w:vAlign w:val="bottom"/>
            <w:tcBorders>
              <w:bottom w:val="single" w:sz="8" w:color="auto"/>
            </w:tcBorders>
          </w:tcPr>
          <w:p>
            <w:pPr>
              <w:spacing w:after="0"/>
              <w:rPr>
                <w:sz w:val="24"/>
                <w:szCs w:val="24"/>
                <w:color w:val="auto"/>
              </w:rPr>
            </w:pPr>
          </w:p>
        </w:tc>
      </w:tr>
      <w:tr>
        <w:trPr>
          <w:trHeight w:val="22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benefit obligations</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5.62 %</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3.85 %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r>
      <w:tr>
        <w:trPr>
          <w:trHeight w:val="49"/>
        </w:trPr>
        <w:tc>
          <w:tcPr>
            <w:tcW w:w="7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2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net expense</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5.67 %</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7.81 %</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3.85 %</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r>
      <w:tr>
        <w:trPr>
          <w:trHeight w:val="223"/>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benefit obligations</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70"/>
        </w:trPr>
        <w:tc>
          <w:tcPr>
            <w:tcW w:w="7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3"/>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net expense</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(ultimate trend rate in 2035)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bl>
    <w:p>
      <w:pPr>
        <w:spacing w:after="0" w:line="22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used the Society of Actuaries' PRI-2012 Private Retirement Plans Mortality Tables projected generationally using the Society of Actuaries' MP-2021 projection scale.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selected the 2025 discount rate for substantially all of its plans by using a hypothetical portfolio of high-quality bonds at December 31, 2025 that would provide the necessary cash flows to match projected benefit payments.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develop our expected long-term rate of return assumption for our defined benefit plans based on historical experience and by evaluating input from the trustee managing the plans' assets. Our expected long-term rate of return on plan assets for these plans is based on a target allocation of assets, which is based on our goal of earning the highest rate of return while maintaining risk at acceptable levels. The plans strive to have assets sufficiently diversified so that adverse or unexpected results from one security class will not have an unduly detrimental impact on the entire portfolio. Plan fiduciaries regularly review our actual asset allocation and the pension plans' investments are periodically rebalanced to our targeted allocation when considered appropriate. United's plan assets are allocated within the following guidelines: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1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Percent of Total</w:t>
            </w:r>
          </w:p>
        </w:tc>
        <w:tc>
          <w:tcPr>
            <w:tcW w:w="2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Expected Long-Term</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2120" w:type="dxa"/>
            <w:vAlign w:val="bottom"/>
            <w:gridSpan w:val="3"/>
            <w:vMerge w:val="continue"/>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Rate of Return</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- 55 %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Fair value information. </w:t>
      </w:r>
      <w:r>
        <w:rPr>
          <w:rFonts w:ascii="Times New Roman" w:cs="Times New Roman" w:eastAsia="Times New Roman" w:hAnsi="Times New Roman"/>
          <w:sz w:val="18"/>
          <w:szCs w:val="18"/>
          <w:color w:val="auto"/>
        </w:rPr>
        <w:t>Assets and liabilities measured at fair value are based on the following valuation techniques: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Market approach. </w:t>
      </w:r>
      <w:r>
        <w:rPr>
          <w:rFonts w:ascii="Times New Roman" w:cs="Times New Roman" w:eastAsia="Times New Roman" w:hAnsi="Times New Roman"/>
          <w:sz w:val="18"/>
          <w:szCs w:val="18"/>
          <w:color w:val="auto"/>
        </w:rPr>
        <w:t>Prices and other relevant information generated by market transactions involving identical or comparable assets and liabilities.</w:t>
      </w:r>
    </w:p>
    <w:p>
      <w:pPr>
        <w:spacing w:after="0" w:line="171" w:lineRule="exact"/>
        <w:rPr>
          <w:sz w:val="20"/>
          <w:szCs w:val="20"/>
          <w:color w:val="auto"/>
        </w:rPr>
      </w:pPr>
    </w:p>
    <w:p>
      <w:pPr>
        <w:ind w:left="660" w:right="7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approach. </w:t>
      </w:r>
      <w:r>
        <w:rPr>
          <w:rFonts w:ascii="Times New Roman" w:cs="Times New Roman" w:eastAsia="Times New Roman" w:hAnsi="Times New Roman"/>
          <w:sz w:val="18"/>
          <w:szCs w:val="18"/>
          <w:color w:val="auto"/>
        </w:rPr>
        <w:t>Techniques to convert future amounts to a single current value based on market expectations (including present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techniques, option-pricing and excess earnings models).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United's pension and other postretirement plan assets at December 31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79"/>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99"/>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0" w:type="dxa"/>
            <w:vAlign w:val="bottom"/>
          </w:tcPr>
          <w:p>
            <w:pPr>
              <w:spacing w:after="0"/>
              <w:rPr>
                <w:sz w:val="1"/>
                <w:szCs w:val="1"/>
                <w:color w:val="auto"/>
              </w:rPr>
            </w:pPr>
          </w:p>
        </w:tc>
      </w:tr>
      <w:tr>
        <w:trPr>
          <w:trHeight w:val="162"/>
        </w:trPr>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 Assets:</w:t>
            </w:r>
          </w:p>
        </w:tc>
        <w:tc>
          <w:tcPr>
            <w:tcW w:w="12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140" w:type="dxa"/>
            <w:vAlign w:val="bottom"/>
            <w:tcBorders>
              <w:right w:val="single" w:sz="8" w:color="auto"/>
            </w:tcBorders>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0" w:type="dxa"/>
            <w:vAlign w:val="bottom"/>
          </w:tcPr>
          <w:p>
            <w:pPr>
              <w:spacing w:after="0"/>
              <w:rPr>
                <w:sz w:val="1"/>
                <w:szCs w:val="1"/>
                <w:color w:val="auto"/>
              </w:rPr>
            </w:pPr>
          </w:p>
        </w:tc>
      </w:tr>
      <w:tr>
        <w:trPr>
          <w:trHeight w:val="214"/>
        </w:trPr>
        <w:tc>
          <w:tcPr>
            <w:tcW w:w="2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NAV(a)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NAV(a)</w:t>
            </w:r>
          </w:p>
        </w:tc>
        <w:tc>
          <w:tcPr>
            <w:tcW w:w="0" w:type="dxa"/>
            <w:vAlign w:val="bottom"/>
          </w:tcPr>
          <w:p>
            <w:pPr>
              <w:spacing w:after="0"/>
              <w:rPr>
                <w:sz w:val="1"/>
                <w:szCs w:val="1"/>
                <w:color w:val="auto"/>
              </w:rPr>
            </w:pPr>
          </w:p>
        </w:tc>
      </w:tr>
      <w:tr>
        <w:trPr>
          <w:trHeight w:val="211"/>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Fixed-income securities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Alternatives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Other Postretirement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Benefit Plan Assets: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 administration fund</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firstLine="8"/>
        <w:spacing w:after="0" w:line="271" w:lineRule="auto"/>
        <w:tabs>
          <w:tab w:leader="none" w:pos="19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relevant accounting standards, certain investments that are measured at fair value using the net asset value ("NAV") per share (or its equivalent) have not been classified in the fair value hierarchy. These investments are commingled funds that invest in equity securities and fixed-income instruments including bonds, debt securities, and other similar instruments issued by various U.S. and non-U.S. public- or private-sector entities. Redemption periods for these investments range from daily to semiannually.</w:t>
      </w:r>
    </w:p>
    <w:p>
      <w:pPr>
        <w:spacing w:after="0" w:line="13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and Fixed-Income. </w:t>
      </w:r>
      <w:r>
        <w:rPr>
          <w:rFonts w:ascii="Times New Roman" w:cs="Times New Roman" w:eastAsia="Times New Roman" w:hAnsi="Times New Roman"/>
          <w:sz w:val="18"/>
          <w:szCs w:val="18"/>
          <w:color w:val="auto"/>
        </w:rPr>
        <w:t>Equity securities include investments in both developed market and emerging market equity securities. Fixed-income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primarily U.S. and non-U.S. government fixed-income securities and non-U.S. corporate fixed-income securities, as well as securitized debt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Deposit Administration Fund. </w:t>
      </w:r>
      <w:r>
        <w:rPr>
          <w:rFonts w:ascii="Times New Roman" w:cs="Times New Roman" w:eastAsia="Times New Roman" w:hAnsi="Times New Roman"/>
          <w:sz w:val="18"/>
          <w:szCs w:val="18"/>
          <w:color w:val="auto"/>
        </w:rPr>
        <w:t>This investment is a stable value investment product structured to provide investment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Alternatives. </w:t>
      </w:r>
      <w:r>
        <w:rPr>
          <w:rFonts w:ascii="Times New Roman" w:cs="Times New Roman" w:eastAsia="Times New Roman" w:hAnsi="Times New Roman"/>
          <w:sz w:val="18"/>
          <w:szCs w:val="18"/>
          <w:color w:val="auto"/>
        </w:rPr>
        <w:t>Alternative investments consist primarily of investments in hedge funds, real estate and private equity interests.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investments. </w:t>
      </w:r>
      <w:r>
        <w:rPr>
          <w:rFonts w:ascii="Times New Roman" w:cs="Times New Roman" w:eastAsia="Times New Roman" w:hAnsi="Times New Roman"/>
          <w:sz w:val="18"/>
          <w:szCs w:val="18"/>
          <w:color w:val="auto"/>
        </w:rPr>
        <w:t>Other investments consist of primarily cash equivalents, as well as insurance contracts.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reconciliation of United's benefit plan assets measured at fair value using unobservable inputs (Level 3)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Sold during the year</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Held at year end</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sales, issuances and settlements (net)</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Funding requirements for tax-qualified defined benefit pension plans are determined by government regulations. The Company expects to make required contributions to its tax-qualified defined benefit pension plans in 2026. In 2026, anticipated employer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all of United's pension and postretirement plans are at least $259 million and approximately $66 million, respectively.</w:t>
      </w:r>
    </w:p>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estimated future benefit payments, net of expected participant contributions, in United's pension plans and other postretirement benefit plans for the next ten years, as of December 31, 2025, are as follows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2031 – 2035</w:t>
            </w: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color w:val="auto"/>
        </w:rPr>
        <w:t>United offers several defined contribution plans to its employees. Depending upon the employee group, employer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contributions consist of matching contributions and/or non-elective employer contributions. United's employer contribution percentages to its primary 401(k) defined contribution plans vary from 1% to 17% of eligible earnings depending on the terms of each plan. United recorded expenses for its primary 401(k) defined contribution plans of $1.3 billion, $1.2 billion and $960 million in the years ended December 31, 2025, 2024 and 2023, respectively, within Salaries and related costs in the Company's statements of consolidated operations.</w:t>
      </w:r>
    </w:p>
    <w:p>
      <w:pPr>
        <w:spacing w:after="0" w:line="1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Multi-Employer Plans. </w:t>
      </w:r>
      <w:r>
        <w:rPr>
          <w:rFonts w:ascii="Times New Roman" w:cs="Times New Roman" w:eastAsia="Times New Roman" w:hAnsi="Times New Roman"/>
          <w:sz w:val="18"/>
          <w:szCs w:val="18"/>
          <w:color w:val="auto"/>
        </w:rPr>
        <w:t>United contributes to the IAM National Pension Plan ("IAM Plan") under the terms of collective bargaining agreements that cover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of its employees represented by the International Association of Machinists and Aerospace Workers (the "IAM"). The IAM Plan provides for retirement, death and/or termination benefits for eligible employees within the applicable collective bargaining units, based on specific eligibility and participation requirements, vesting periods and benefit formulas. The risks of participating in these multi-employer plans are different from single-employer plans, as United may be subject to additional risks that others do not meet their obligations, which in certain circumstances could revert to United, or if a withdrawal from a multi-employer plan occurs for United.</w:t>
      </w:r>
    </w:p>
    <w:p>
      <w:pPr>
        <w:spacing w:after="0" w:line="13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IAM Plan reported $640 million of employer contributions for the year ended December 31, 2024. For 2024, the Company's contributions to the IAM Plan represented more than 5% of total contributions to the IAM Plan. The 2025 information is not available as the applicable Form 5500 is not final for the plan year. United's participation in the IAM Plan for the annual period ended December 31, 2025 is outlined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6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IAM National Pension Fund ("IAM Fund")</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EIN/ Pension Plan Number</w:t>
            </w:r>
          </w:p>
        </w:tc>
        <w:tc>
          <w:tcPr>
            <w:tcW w:w="6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51-6031295 — 002</w:t>
            </w:r>
          </w:p>
        </w:tc>
      </w:tr>
      <w:tr>
        <w:trPr>
          <w:trHeight w:val="176"/>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Protection Act Zone Status (2025 and 2024)</w:t>
            </w:r>
          </w:p>
        </w:tc>
        <w:tc>
          <w:tcPr>
            <w:tcW w:w="6680" w:type="dxa"/>
            <w:vAlign w:val="bottom"/>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Critical (2025 and 2024). A plan is in "critical" status if the funded percentage is</w:t>
            </w:r>
          </w:p>
        </w:tc>
      </w:tr>
      <w:tr>
        <w:trPr>
          <w:trHeight w:val="175"/>
        </w:trPr>
        <w:tc>
          <w:tcPr>
            <w:tcW w:w="4420" w:type="dxa"/>
            <w:vAlign w:val="bottom"/>
            <w:shd w:val="clear" w:color="auto" w:fill="CCEEFF"/>
          </w:tcPr>
          <w:p>
            <w:pPr>
              <w:spacing w:after="0"/>
              <w:rPr>
                <w:sz w:val="15"/>
                <w:szCs w:val="15"/>
                <w:color w:val="auto"/>
              </w:rPr>
            </w:pPr>
          </w:p>
        </w:tc>
        <w:tc>
          <w:tcPr>
            <w:tcW w:w="6680" w:type="dxa"/>
            <w:vAlign w:val="bottom"/>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less than 65 percent. On April 17, 2019, the IAM National Pension Fund Board of</w:t>
            </w:r>
          </w:p>
        </w:tc>
      </w:tr>
      <w:tr>
        <w:trPr>
          <w:trHeight w:val="184"/>
        </w:trPr>
        <w:tc>
          <w:tcPr>
            <w:tcW w:w="4420" w:type="dxa"/>
            <w:vAlign w:val="bottom"/>
            <w:shd w:val="clear" w:color="auto" w:fill="CCEEFF"/>
          </w:tcPr>
          <w:p>
            <w:pPr>
              <w:spacing w:after="0"/>
              <w:rPr>
                <w:sz w:val="16"/>
                <w:szCs w:val="16"/>
                <w:color w:val="auto"/>
              </w:rPr>
            </w:pPr>
          </w:p>
        </w:tc>
        <w:tc>
          <w:tcPr>
            <w:tcW w:w="6680" w:type="dxa"/>
            <w:vAlign w:val="bottom"/>
            <w:shd w:val="clear" w:color="auto" w:fill="CCEEFF"/>
          </w:tcPr>
          <w:p>
            <w:pPr>
              <w:ind w:left="580"/>
              <w:spacing w:after="0" w:line="184" w:lineRule="exact"/>
              <w:rPr>
                <w:sz w:val="20"/>
                <w:szCs w:val="20"/>
                <w:color w:val="auto"/>
              </w:rPr>
            </w:pPr>
            <w:r>
              <w:rPr>
                <w:rFonts w:ascii="Times New Roman" w:cs="Times New Roman" w:eastAsia="Times New Roman" w:hAnsi="Times New Roman"/>
                <w:sz w:val="18"/>
                <w:szCs w:val="18"/>
                <w:color w:val="auto"/>
              </w:rPr>
              <w:t>Trustees voluntarily elected for the IAM Fund to be in critical status effective for</w:t>
            </w:r>
          </w:p>
        </w:tc>
      </w:tr>
      <w:tr>
        <w:trPr>
          <w:trHeight w:val="180"/>
        </w:trPr>
        <w:tc>
          <w:tcPr>
            <w:tcW w:w="4420" w:type="dxa"/>
            <w:vAlign w:val="bottom"/>
            <w:shd w:val="clear" w:color="auto" w:fill="CCEEFF"/>
          </w:tcPr>
          <w:p>
            <w:pPr>
              <w:spacing w:after="0"/>
              <w:rPr>
                <w:sz w:val="15"/>
                <w:szCs w:val="15"/>
                <w:color w:val="auto"/>
              </w:rPr>
            </w:pPr>
          </w:p>
        </w:tc>
        <w:tc>
          <w:tcPr>
            <w:tcW w:w="6680" w:type="dxa"/>
            <w:vAlign w:val="bottom"/>
            <w:shd w:val="clear" w:color="auto" w:fill="CCEEFF"/>
          </w:tcPr>
          <w:p>
            <w:pPr>
              <w:ind w:left="580"/>
              <w:spacing w:after="0" w:line="181" w:lineRule="exact"/>
              <w:rPr>
                <w:sz w:val="20"/>
                <w:szCs w:val="20"/>
                <w:color w:val="auto"/>
              </w:rPr>
            </w:pPr>
            <w:r>
              <w:rPr>
                <w:rFonts w:ascii="Times New Roman" w:cs="Times New Roman" w:eastAsia="Times New Roman" w:hAnsi="Times New Roman"/>
                <w:sz w:val="18"/>
                <w:szCs w:val="18"/>
                <w:color w:val="auto"/>
              </w:rPr>
              <w:t>the plan year beginning January 1, 2019 to strengthen the IAM Fund's financial</w:t>
            </w:r>
          </w:p>
        </w:tc>
      </w:tr>
      <w:tr>
        <w:trPr>
          <w:trHeight w:val="243"/>
        </w:trPr>
        <w:tc>
          <w:tcPr>
            <w:tcW w:w="4420" w:type="dxa"/>
            <w:vAlign w:val="bottom"/>
            <w:shd w:val="clear" w:color="auto" w:fill="CCEEFF"/>
          </w:tcPr>
          <w:p>
            <w:pPr>
              <w:spacing w:after="0"/>
              <w:rPr>
                <w:sz w:val="21"/>
                <w:szCs w:val="21"/>
                <w:color w:val="auto"/>
              </w:rPr>
            </w:pPr>
          </w:p>
        </w:tc>
        <w:tc>
          <w:tcPr>
            <w:tcW w:w="6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health. The IAM Fund's funded percentage was 88.0% as of January 1, 2024.</w:t>
            </w:r>
          </w:p>
        </w:tc>
      </w:tr>
      <w:tr>
        <w:trPr>
          <w:trHeight w:val="175"/>
        </w:trPr>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FIP/RP Status Pending/Implemented</w:t>
            </w:r>
          </w:p>
        </w:tc>
        <w:tc>
          <w:tcPr>
            <w:tcW w:w="6680" w:type="dxa"/>
            <w:vAlign w:val="bottom"/>
          </w:tcPr>
          <w:p>
            <w:pPr>
              <w:ind w:left="580"/>
              <w:spacing w:after="0" w:line="176" w:lineRule="exact"/>
              <w:rPr>
                <w:sz w:val="20"/>
                <w:szCs w:val="20"/>
                <w:color w:val="auto"/>
              </w:rPr>
            </w:pPr>
            <w:r>
              <w:rPr>
                <w:rFonts w:ascii="Times New Roman" w:cs="Times New Roman" w:eastAsia="Times New Roman" w:hAnsi="Times New Roman"/>
                <w:sz w:val="18"/>
                <w:szCs w:val="18"/>
                <w:color w:val="auto"/>
              </w:rPr>
              <w:t>A 10-year Rehabilitation Plan effective, January 1, 2022, was adopted on April 17,</w:t>
            </w:r>
          </w:p>
        </w:tc>
      </w:tr>
      <w:tr>
        <w:trPr>
          <w:trHeight w:val="175"/>
        </w:trPr>
        <w:tc>
          <w:tcPr>
            <w:tcW w:w="4420" w:type="dxa"/>
            <w:vAlign w:val="bottom"/>
          </w:tcPr>
          <w:p>
            <w:pPr>
              <w:spacing w:after="0"/>
              <w:rPr>
                <w:sz w:val="15"/>
                <w:szCs w:val="15"/>
                <w:color w:val="auto"/>
              </w:rPr>
            </w:pPr>
          </w:p>
        </w:tc>
        <w:tc>
          <w:tcPr>
            <w:tcW w:w="6680" w:type="dxa"/>
            <w:vAlign w:val="bottom"/>
          </w:tcPr>
          <w:p>
            <w:pPr>
              <w:ind w:left="580"/>
              <w:spacing w:after="0" w:line="176" w:lineRule="exact"/>
              <w:rPr>
                <w:sz w:val="20"/>
                <w:szCs w:val="20"/>
                <w:color w:val="auto"/>
              </w:rPr>
            </w:pPr>
            <w:r>
              <w:rPr>
                <w:rFonts w:ascii="Times New Roman" w:cs="Times New Roman" w:eastAsia="Times New Roman" w:hAnsi="Times New Roman"/>
                <w:sz w:val="18"/>
                <w:szCs w:val="18"/>
                <w:color w:val="auto"/>
              </w:rPr>
              <w:t>2019 that requires the Company to make an additional contribution of 2.5% of the</w:t>
            </w:r>
          </w:p>
        </w:tc>
      </w:tr>
      <w:tr>
        <w:trPr>
          <w:trHeight w:val="184"/>
        </w:trPr>
        <w:tc>
          <w:tcPr>
            <w:tcW w:w="4420" w:type="dxa"/>
            <w:vAlign w:val="bottom"/>
          </w:tcPr>
          <w:p>
            <w:pPr>
              <w:spacing w:after="0"/>
              <w:rPr>
                <w:sz w:val="16"/>
                <w:szCs w:val="16"/>
                <w:color w:val="auto"/>
              </w:rPr>
            </w:pPr>
          </w:p>
        </w:tc>
        <w:tc>
          <w:tcPr>
            <w:tcW w:w="6680" w:type="dxa"/>
            <w:vAlign w:val="bottom"/>
          </w:tcPr>
          <w:p>
            <w:pPr>
              <w:ind w:left="580"/>
              <w:spacing w:after="0" w:line="184" w:lineRule="exact"/>
              <w:rPr>
                <w:sz w:val="20"/>
                <w:szCs w:val="20"/>
                <w:color w:val="auto"/>
              </w:rPr>
            </w:pPr>
            <w:r>
              <w:rPr>
                <w:rFonts w:ascii="Times New Roman" w:cs="Times New Roman" w:eastAsia="Times New Roman" w:hAnsi="Times New Roman"/>
                <w:sz w:val="18"/>
                <w:szCs w:val="18"/>
                <w:color w:val="auto"/>
              </w:rPr>
              <w:t>hourly contribution rate, compounded annually for the length of the Rehabilitation</w:t>
            </w:r>
          </w:p>
        </w:tc>
      </w:tr>
      <w:tr>
        <w:trPr>
          <w:trHeight w:val="234"/>
        </w:trPr>
        <w:tc>
          <w:tcPr>
            <w:tcW w:w="4420" w:type="dxa"/>
            <w:vAlign w:val="bottom"/>
          </w:tcPr>
          <w:p>
            <w:pPr>
              <w:spacing w:after="0"/>
              <w:rPr>
                <w:sz w:val="20"/>
                <w:szCs w:val="20"/>
                <w:color w:val="auto"/>
              </w:rPr>
            </w:pPr>
          </w:p>
        </w:tc>
        <w:tc>
          <w:tcPr>
            <w:tcW w:w="6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Plan, effective June 1, 2019.</w:t>
            </w: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United's Contributions</w:t>
            </w:r>
          </w:p>
        </w:tc>
        <w:tc>
          <w:tcPr>
            <w:tcW w:w="6680" w:type="dxa"/>
            <w:vAlign w:val="bottom"/>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$97 million, $95 million and $87 million in the years ended December 31, 2025,</w:t>
            </w:r>
          </w:p>
        </w:tc>
      </w:tr>
      <w:tr>
        <w:trPr>
          <w:trHeight w:val="243"/>
        </w:trPr>
        <w:tc>
          <w:tcPr>
            <w:tcW w:w="4420" w:type="dxa"/>
            <w:vAlign w:val="bottom"/>
            <w:shd w:val="clear" w:color="auto" w:fill="CCEEFF"/>
          </w:tcPr>
          <w:p>
            <w:pPr>
              <w:spacing w:after="0"/>
              <w:rPr>
                <w:sz w:val="21"/>
                <w:szCs w:val="21"/>
                <w:color w:val="auto"/>
              </w:rPr>
            </w:pPr>
          </w:p>
        </w:tc>
        <w:tc>
          <w:tcPr>
            <w:tcW w:w="6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2024 and 2023, respectively.</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Surcharge Imposed</w:t>
            </w:r>
          </w:p>
        </w:tc>
        <w:tc>
          <w:tcPr>
            <w:tcW w:w="6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Date of Collective Bargaining Agreement</w:t>
            </w:r>
          </w:p>
        </w:tc>
        <w:tc>
          <w:tcPr>
            <w:tcW w:w="6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2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 Sharing. </w:t>
      </w:r>
      <w:r>
        <w:rPr>
          <w:rFonts w:ascii="Times New Roman" w:cs="Times New Roman" w:eastAsia="Times New Roman" w:hAnsi="Times New Roman"/>
          <w:sz w:val="18"/>
          <w:szCs w:val="18"/>
          <w:color w:val="auto"/>
        </w:rPr>
        <w:t>Substantially all of our employees are eligible to participate in our profit sharing plan. Under the plan, for each year in which our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pre-tax profit (which is calculated as pre-tax profit, excluding unusual, special or non-recurring charges, profit sharing expense and share-based compensation) exceeds a certain amount, a specified portion of that profit will be distributed to eligible employees. The Company recorded profit sharing and related payroll tax expense of $704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$713 million and $681 million in 2025, 2024 and 2023, respectively. Profit sharing expense is recorded as a component of Salaries and related costs in the Company's statements of consolidated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INVESTMENTS AND NOTES RECEIVABLE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 </w:t>
      </w:r>
      <w:r>
        <w:rPr>
          <w:rFonts w:ascii="Times New Roman" w:cs="Times New Roman" w:eastAsia="Times New Roman" w:hAnsi="Times New Roman"/>
          <w:sz w:val="18"/>
          <w:szCs w:val="18"/>
          <w:color w:val="auto"/>
        </w:rPr>
        <w:t>The table below presents the fair value of financial assets and liabilities measured at fair value, based on the inputs described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on a recurring basis in the Company's financial statements as of December 31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23"/>
        </w:trPr>
        <w:tc>
          <w:tcPr>
            <w:tcW w:w="3560" w:type="dxa"/>
            <w:vAlign w:val="bottom"/>
          </w:tcPr>
          <w:p>
            <w:pPr>
              <w:spacing w:after="0"/>
              <w:rPr>
                <w:sz w:val="19"/>
                <w:szCs w:val="19"/>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9"/>
                <w:szCs w:val="19"/>
                <w:color w:val="auto"/>
              </w:rPr>
            </w:pPr>
          </w:p>
        </w:tc>
        <w:tc>
          <w:tcPr>
            <w:tcW w:w="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9"/>
                <w:szCs w:val="19"/>
                <w:color w:val="auto"/>
              </w:rPr>
            </w:pPr>
          </w:p>
        </w:tc>
        <w:tc>
          <w:tcPr>
            <w:tcW w:w="9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5,942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agency notes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3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Certificates of deposit placed through an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 registry service ("CDARS")</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fixed-income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4"/>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presented in the table above have the same fair value as their carrying value.</w:t>
      </w:r>
    </w:p>
    <w:p>
      <w:pPr>
        <w:spacing w:after="0" w:line="167"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w:t>
      </w:r>
      <w:r>
        <w:rPr>
          <w:rFonts w:ascii="Times New Roman" w:cs="Times New Roman" w:eastAsia="Times New Roman" w:hAnsi="Times New Roman"/>
          <w:sz w:val="18"/>
          <w:szCs w:val="18"/>
          <w:color w:val="auto"/>
        </w:rPr>
        <w:t>he short-term investments shown in the table above are classified as available-for-sale and have remaining maturities of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two years.</w:t>
      </w:r>
    </w:p>
    <w:p>
      <w:pPr>
        <w:spacing w:after="0" w:line="8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Long-term investments: Equity securities </w:t>
      </w:r>
      <w:r>
        <w:rPr>
          <w:rFonts w:ascii="Times New Roman" w:cs="Times New Roman" w:eastAsia="Times New Roman" w:hAnsi="Times New Roman"/>
          <w:sz w:val="18"/>
          <w:szCs w:val="18"/>
          <w:color w:val="auto"/>
        </w:rPr>
        <w:t>— Represents equity and equity-linked securities (such as vested warrants) that make up United's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Azul Linhas Aéreas Brasileiras S.A. ("Azul"), Archer Aviation Inc. and Eve Holding, Inc. Equity securities at December 31, 2024 also included Mesa Air Group, Inc. ("Mesa").</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May 28, 2025, Azul announced it had entered into restructuring agreements with its key stakeholders and strategic partners, including United, to effectuate a proactive reorganization process. On November 7, 2025, United entered into an equity investment agreement with Azul and certain of Azul's subsidiaries, pursuant to which United subscribed for $100 million of Azul shares in connection with Azul's completion of the reorganization process. Consummation of United's investment is subject to the satisfaction of certain conditions precedent, including but not limited to completion of Azul's reorganization plan.</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fair value information - </w:t>
      </w:r>
      <w:r>
        <w:rPr>
          <w:rFonts w:ascii="Times New Roman" w:cs="Times New Roman" w:eastAsia="Times New Roman" w:hAnsi="Times New Roman"/>
          <w:sz w:val="18"/>
          <w:szCs w:val="18"/>
          <w:color w:val="auto"/>
        </w:rPr>
        <w:t>The table below presents the carrying values and estimated fair values of financial instruments not presented in the tables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as of December 31 (in millions). Carrying amounts include any related discounts, premiums and issuance costs: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4"/>
            <w:vMerge w:val="continue"/>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4"/>
            <w:vMerge w:val="continue"/>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21,266</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right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14,030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7,458</w:t>
            </w:r>
          </w:p>
        </w:tc>
        <w:tc>
          <w:tcPr>
            <w:tcW w:w="2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24,423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17,300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7,123</w:t>
            </w:r>
          </w:p>
        </w:tc>
        <w:tc>
          <w:tcPr>
            <w:tcW w:w="0" w:type="dxa"/>
            <w:vAlign w:val="bottom"/>
          </w:tcPr>
          <w:p>
            <w:pPr>
              <w:spacing w:after="0"/>
              <w:rPr>
                <w:sz w:val="1"/>
                <w:szCs w:val="1"/>
                <w:color w:val="auto"/>
              </w:rPr>
            </w:pPr>
          </w:p>
        </w:tc>
      </w:tr>
      <w:tr>
        <w:trPr>
          <w:trHeight w:val="391"/>
        </w:trPr>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Fair value of the financial instruments included in the tables above was determined as follows: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Methodology</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60" w:type="dxa"/>
            <w:vAlign w:val="bottom"/>
            <w:tcBorders>
              <w:left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8"/>
                <w:szCs w:val="18"/>
                <w:color w:val="auto"/>
              </w:rPr>
              <w:t>Cash and cash equivalents and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70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carrying amounts of these assets approximate fair value.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560" w:type="dxa"/>
            <w:vAlign w:val="bottom"/>
            <w:tcBorders>
              <w:left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Restricted cash (current and non-current)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560" w:type="dxa"/>
            <w:vAlign w:val="bottom"/>
            <w:tcBorders>
              <w:left w:val="single" w:sz="8" w:color="auto"/>
            </w:tcBorders>
            <w:gridSpan w:val="6"/>
          </w:tcPr>
          <w:p>
            <w:pPr>
              <w:ind w:left="40"/>
              <w:spacing w:after="0" w:line="173" w:lineRule="exact"/>
              <w:rPr>
                <w:sz w:val="20"/>
                <w:szCs w:val="20"/>
                <w:color w:val="auto"/>
              </w:rPr>
            </w:pPr>
            <w:r>
              <w:rPr>
                <w:rFonts w:ascii="Times New Roman" w:cs="Times New Roman" w:eastAsia="Times New Roman" w:hAnsi="Times New Roman"/>
                <w:sz w:val="18"/>
                <w:szCs w:val="18"/>
                <w:color w:val="auto"/>
              </w:rPr>
              <w:t>Short-term and Long-term investments</w:t>
            </w: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5620" w:type="dxa"/>
            <w:vAlign w:val="bottom"/>
            <w:gridSpan w:val="14"/>
          </w:tcPr>
          <w:p>
            <w:pPr>
              <w:ind w:left="20"/>
              <w:spacing w:after="0" w:line="173" w:lineRule="exact"/>
              <w:rPr>
                <w:sz w:val="20"/>
                <w:szCs w:val="20"/>
                <w:color w:val="auto"/>
              </w:rPr>
            </w:pPr>
            <w:r>
              <w:rPr>
                <w:rFonts w:ascii="Times New Roman" w:cs="Times New Roman" w:eastAsia="Times New Roman" w:hAnsi="Times New Roman"/>
                <w:sz w:val="18"/>
                <w:szCs w:val="18"/>
                <w:color w:val="auto"/>
              </w:rPr>
              <w:t>Fair value is based on (a) the trading prices of the investment or similar</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8"/>
                <w:szCs w:val="18"/>
                <w:color w:val="auto"/>
              </w:rPr>
              <w:t>instruments or (b) broker quotes obtained by third-party valuation services.</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46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17"/>
          </w:tcPr>
          <w:p>
            <w:pPr>
              <w:ind w:left="20"/>
              <w:spacing w:after="0" w:line="173" w:lineRule="exact"/>
              <w:rPr>
                <w:sz w:val="20"/>
                <w:szCs w:val="20"/>
                <w:color w:val="auto"/>
              </w:rPr>
            </w:pPr>
            <w:r>
              <w:rPr>
                <w:rFonts w:ascii="Times New Roman" w:cs="Times New Roman" w:eastAsia="Times New Roman" w:hAnsi="Times New Roman"/>
                <w:sz w:val="18"/>
                <w:szCs w:val="18"/>
                <w:color w:val="auto"/>
              </w:rPr>
              <w:t>Fair values are based on either market prices or the discounted amount of future cash flows using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color w:val="auto"/>
              </w:rPr>
              <w:t>our current incremental rate of borrowing for similar liabilities.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As of December 31, 2025, United holds investments, accounted for using the equity method, with a combined carrying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$273 million. Significant equity method investments are described below:</w:t>
      </w:r>
    </w:p>
    <w:p>
      <w:pPr>
        <w:spacing w:after="0" w:line="115" w:lineRule="exact"/>
        <w:rPr>
          <w:sz w:val="20"/>
          <w:szCs w:val="20"/>
          <w:color w:val="auto"/>
        </w:rPr>
      </w:pPr>
    </w:p>
    <w:p>
      <w:pPr>
        <w:ind w:left="660" w:hanging="328"/>
        <w:spacing w:after="0" w:line="25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Republic Airways Holdings Inc. </w:t>
      </w:r>
      <w:r>
        <w:rPr>
          <w:rFonts w:ascii="Times New Roman" w:cs="Times New Roman" w:eastAsia="Times New Roman" w:hAnsi="Times New Roman"/>
          <w:sz w:val="18"/>
          <w:szCs w:val="18"/>
          <w:color w:val="auto"/>
        </w:rPr>
        <w:t>On November 25, 2025, Mesa consummated the transactions contemplated by the Agreement, Plan of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Plan of Merger, dated April 4, 2025 (the "Merger Agreement"), with Republic Airways Holdings Inc. ("Legacy Republic"). Subject to the terms and conditions of the Merger Agreement, Legacy Republic merged with and into Mesa (the "Merger"), with the Mesa legal entity continuing as the surviving corporation following the Merger and renamed "Republic Airways Holdings Inc." ("Republic"). Concurrent with the execution of the Merger Agreement, Legacy Republic, Mesa and its affiliates, and United entered into a Three Party Agreement that provided for certain actions to be taken subject to the terms and conditions therein to facilitate transactions related to the Merger, including United's commitment to facilitate, by making certain financial contributions to Mesa, Mesa's disposition of certain assets and its extinguishment of certain liabilities in exchange for United receiving additional shares of up to 6% of the total equity interests of Republic, subject to final determination within 60 days of the completion of the Merger. As of December 31, 2025, United accounted for the consideration to be received within Receivables, net on its consolidated balance sheets. On February 3, 2026, the Company and Republic reached an agreement on the remaining shares and the Company received an additional allocation of 2,744,348 shares, or approximately 5.8% of Republic, for a total ownership interest of approximately 22.3% of the issued and outstanding common stock of Republic. As of December 31, 2025, United held approximately 16.5% minority interest in Republic. As of December 31, 2024, United held a 19% minority interest in Legacy Republic and a 10% minority interest in Mesa. Republic Airways Inc. currently operates 66 regional aircraft under CPAs with United that have terms through 2037. Mesa Airlines, Inc. currently operates 60 regional aircraft under a CPA with a term through 2036.</w:t>
      </w:r>
    </w:p>
    <w:p>
      <w:pPr>
        <w:spacing w:after="0" w:line="142"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CommuteAir LLC. </w:t>
      </w:r>
      <w:r>
        <w:rPr>
          <w:rFonts w:ascii="Times New Roman" w:cs="Times New Roman" w:eastAsia="Times New Roman" w:hAnsi="Times New Roman"/>
          <w:sz w:val="18"/>
          <w:szCs w:val="18"/>
          <w:color w:val="auto"/>
        </w:rPr>
        <w:t>United owns a 40% minority ownership stake in CommuteAir LLC ("CommuteAir"). CommuteAir currently operates 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regional aircraft under a CPA that has a term through 2028.</w:t>
      </w:r>
    </w:p>
    <w:p>
      <w:pPr>
        <w:spacing w:after="0" w:line="117" w:lineRule="exact"/>
        <w:rPr>
          <w:rFonts w:ascii="Times New Roman" w:cs="Times New Roman" w:eastAsia="Times New Roman" w:hAnsi="Times New Roman"/>
          <w:sz w:val="18"/>
          <w:szCs w:val="18"/>
          <w:color w:val="auto"/>
        </w:rPr>
      </w:pPr>
    </w:p>
    <w:p>
      <w:pPr>
        <w:ind w:left="660" w:right="120" w:hanging="328"/>
        <w:spacing w:after="0" w:line="252" w:lineRule="auto"/>
        <w:tabs>
          <w:tab w:leader="none" w:pos="648" w:val="left"/>
        </w:tabs>
        <w:numPr>
          <w:ilvl w:val="0"/>
          <w:numId w:val="3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i w:val="1"/>
          <w:iCs w:val="1"/>
          <w:color w:val="auto"/>
        </w:rPr>
        <w:t>United Airlines Ventures Sustainable Flight Fund (the "Fund")</w:t>
      </w:r>
      <w:r>
        <w:rPr>
          <w:rFonts w:ascii="Times New Roman" w:cs="Times New Roman" w:eastAsia="Times New Roman" w:hAnsi="Times New Roman"/>
          <w:sz w:val="18"/>
          <w:szCs w:val="18"/>
          <w:color w:val="auto"/>
        </w:rPr>
        <w:t>. United holds, through its corporate venture capital arm, United Airlines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a 33% ownership interest in the Fund. The Fund is an investment vehicle designed to support start-ups developing technologies focused on decarbonizing aviation and its associated energy supply chains, including through research and production, and technologies associated with sustainable aviation fuel (SAF).</w:t>
      </w:r>
    </w:p>
    <w:p>
      <w:pPr>
        <w:spacing w:after="0" w:line="13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Investments. </w:t>
      </w:r>
      <w:r>
        <w:rPr>
          <w:rFonts w:ascii="Times New Roman" w:cs="Times New Roman" w:eastAsia="Times New Roman" w:hAnsi="Times New Roman"/>
          <w:sz w:val="18"/>
          <w:szCs w:val="18"/>
          <w:color w:val="auto"/>
        </w:rPr>
        <w:t>United has equity investments in Abra Group Limited, a multinational airline holding company, JetSuiteX, Inc., an independent 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carrier doing business as JSX, as well as a number of companies with emerging technologies and sustainable solutions. None of these investments have readily determinable fair values. We account for these investments at cost less impairment, adjusted for observable price changes in orderly transactions for an identical or similar investment of the same issuer. As of December 31, 2025, the carrying value of these investments was $339 million.</w:t>
      </w:r>
    </w:p>
    <w:p>
      <w:pPr>
        <w:spacing w:after="0" w:line="12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Receivable. </w:t>
      </w:r>
      <w:r>
        <w:rPr>
          <w:rFonts w:ascii="Times New Roman" w:cs="Times New Roman" w:eastAsia="Times New Roman" w:hAnsi="Times New Roman"/>
          <w:sz w:val="18"/>
          <w:szCs w:val="18"/>
          <w:color w:val="auto"/>
        </w:rPr>
        <w:t>As of December 31, 2025, the Company has $54 million of notes receivable, net of allowance for credit losses, the majority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certain of its regional carriers. The current portions of the notes receivable are recorded in Receivables, net and the noncurrent portions are recorded in Investments in affiliates and other, net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940" w:type="dxa"/>
            <w:vAlign w:val="bottom"/>
            <w:vMerge w:val="restart"/>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 Rate(s) at</w:t>
            </w:r>
          </w:p>
        </w:tc>
        <w:tc>
          <w:tcPr>
            <w:tcW w:w="220" w:type="dxa"/>
            <w:vAlign w:val="bottom"/>
          </w:tcPr>
          <w:p>
            <w:pPr>
              <w:spacing w:after="0"/>
              <w:rPr>
                <w:sz w:val="24"/>
                <w:szCs w:val="24"/>
                <w:color w:val="auto"/>
              </w:rPr>
            </w:pPr>
          </w:p>
        </w:tc>
        <w:tc>
          <w:tcPr>
            <w:tcW w:w="194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4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gridSpan w:val="4"/>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8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Maturity Dates</w:t>
            </w:r>
          </w:p>
        </w:tc>
        <w:tc>
          <w:tcPr>
            <w:tcW w:w="22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90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 Notes (a)</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2037</w:t>
            </w:r>
          </w:p>
        </w:tc>
        <w:tc>
          <w:tcPr>
            <w:tcW w:w="3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6.25%</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2026 and 2029 Notes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2029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4.63%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 Term Loans (b)</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5.73%</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MileagePlus Senior Secured Notes</w:t>
            </w:r>
          </w:p>
        </w:tc>
        <w:tc>
          <w:tcPr>
            <w:tcW w:w="58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n/a</w:t>
            </w: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secured debt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2035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5.25%</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Unsecured</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PSP Notes (c)</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2031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5.93%</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Notes</w:t>
            </w:r>
          </w:p>
        </w:tc>
        <w:tc>
          <w:tcPr>
            <w:tcW w:w="58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n/a</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unsecured debt</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5.75%</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unamortized debt discount, premiums and debt issuance</w:t>
            </w: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9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4900" w:type="dxa"/>
            <w:vAlign w:val="bottom"/>
            <w:gridSpan w:val="3"/>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5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394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right="300" w:hanging="334"/>
        <w:spacing w:after="0" w:line="260" w:lineRule="auto"/>
        <w:tabs>
          <w:tab w:leader="none" w:pos="35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includes variable rate debt based on the Secured Overnight Financing Rate ("SOFR") (or another index rate), generally subject to a floor, plus a specified margin of 0.64% to 2.00%.</w:t>
      </w:r>
    </w:p>
    <w:p>
      <w:pPr>
        <w:ind w:left="340" w:hanging="314"/>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includes variable rate debt based on SOFR (or another index rate), subject to a floor, plus a specified margin of 2.00%.</w:t>
      </w:r>
    </w:p>
    <w:p>
      <w:pPr>
        <w:spacing w:after="0" w:line="15" w:lineRule="exact"/>
        <w:rPr>
          <w:rFonts w:ascii="Times New Roman" w:cs="Times New Roman" w:eastAsia="Times New Roman" w:hAnsi="Times New Roman"/>
          <w:sz w:val="16"/>
          <w:szCs w:val="16"/>
          <w:color w:val="auto"/>
        </w:rPr>
      </w:pPr>
    </w:p>
    <w:p>
      <w:pPr>
        <w:ind w:left="360" w:right="240" w:hanging="334"/>
        <w:spacing w:after="0" w:line="256" w:lineRule="auto"/>
        <w:tabs>
          <w:tab w:leader="none" w:pos="35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PSP Notes include $1.50 billion of indebtedness evidenced by a 10-year senior unsecured promissory note with Treasury provided under PSP, $0.9 billion of indebtedness evidenced by a 10-year senior unsecured promissory note issued to Treasury pursuant to PSP2 and $0.8 billion of indebtedness evidenced by a 10-year senior unsecured promissory note issued to Treasury pursuant to PSP3. These PSP Notes have a rate of 1.00% in years 1 through 5, and a rate of the SOFR plus 2.00% in years 6 through 10.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$3.0 billion undrawn and available under our revolving credit facility.</w:t>
      </w:r>
    </w:p>
    <w:p>
      <w:pPr>
        <w:spacing w:after="0" w:line="17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table below presents the Company's contractual principal payments (not including debt discount or debt issuance costs) as of December 31, 2025 under then-outstanding long-term debt agreements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8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After 2030</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principal payments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21,383</w:t>
            </w:r>
          </w:p>
        </w:tc>
      </w:tr>
    </w:tbl>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2025, United borrowed $0.5 billion aggregate principal amount from financial institutions to finance the purchase of aircraft. The notes evidencing these borrowings, which are secured by the related aircraft, mature between 2035 and 2037 and bear interest equal to Term SOFR plus a margin with variable rates ranging from 5.29% to 5.39%.</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2025, at the request of United, the Greater Orlando Aviation Authority issued its approximately $258 million special purpose airport facilities revenue bonds and loaned the proceeds of such bonds to United pursuant to a loan agreement to finance a portion of the costs of constructing certain airport improvements, including a hangar among other facilities, to be installed and leased by United at Orlando International Airport. The bonds bear interest at 5.25% to 5.50% per annum, payable semiannually, commencing May 1, 2026 through the November 1, 2037 final maturity date. As security for United's obligations under the loan agreement, United also entered into a leasehold mortgage which grants to the trustee of the bonds (acting on behalf of the bondholders) a lien on United's interest in the leased premises and any improvements thereon owned by or leased to United. As of December 31, 2025, United had recorded approximately $71 million related to this debt.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July 7, 2025, Mileage Plus Holdings, LLC ("MPH"), a direct wholly owned subsidiary of United, and Mileage Plus Intellectual Property Assets, Ltd., an indirect wholly owned subsidiary of MPH ("MIPA" and, together with MPH, the "Issuers"), redeemed in full (the "Redemption") all $1.52 billion aggregate principal amount of the Issuers' outstanding MileagePlus 6.5% senior secured notes due 2027 (the "MileagePlus Senior Secured Notes"), which were secured by substantially all of the assets of the Issuers and their subsidiaries. As a result of the Redemption and the July 2024 voluntarily prepayment in full of the $1.80 billion outstanding principal balance of the secured term loan facility, which was secured ratably with the MileagePlus Senior Secured Notes, all indebtedness secured by the MileagePlus assets have been fully repaid.</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debt agreements contain customary terms and conditions as well as various affirmative, negative and financial covenants that, among other things, limit our ability under certain circumstances to create liens on collateral, make certain dividends, stock repurchases, restricted investments and other restricted payments, and consolidate, merge, sell, or otherwise dispose of all or substantially all of our assets. Our debt agreements also contain events of default customary for similar financings including, in certain cases, cross-payment default and cross-acceleration to other material indebtedness. Certain of our debt agreements contain financial covenants that require the Company to maintain at least $2.0 billion of unrestricted liquidity at all times, which includes unrestricted cash, certain liquid and short-term investments and any undrawn amounts under any revolving credit facility, and to maintain a minimum ratio of appraised value of collateral to the outstanding debt secured by such collateral on a senior basis of 1.6 to 1.0, tested semi-annually. As of December 31, 2025, the Company was in compliance with its debt covenants under these agreements.</w:t>
      </w:r>
    </w:p>
    <w:p>
      <w:pPr>
        <w:spacing w:after="0" w:line="138"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On February 2, 2026, UAL issued, in a public offering, $1,000,000,000 principal amount of its 5.375% Senior Notes due 2031 (the "2031 Notes"), which are guaranteed by United. The 2031 Notes, issued at a price of 100% of their principal amount, bear interest at a rate of 5.375% per annum, payable semi-annually on March 1 and September 1 of each year, beginning September 1, 2026 and maturing on March 1, 2031. UAL, at its option, may redeem the</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2031 Notes at any time prior to September 1, 2030, in whole or in part, at a redemption price equal to the greater of (1) 100% of the principal amount of the 2031 Notes to be redeemed and (2) a make-whole amount, if any, plus accrued and unpaid interest on the principal amount being redeemed to the redemption date. At any time on or after September 1, 2030, UAL may redeem the 2031 Notes, in whole or in part, at a redemption price equal to 100% of the principal amount of the 2031 Notes to be redeemed, plus accrued and unpaid interest on the principal amount being redeemed to the redemption date.</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3, 2026, the Company entered into Amendment No. 4 to Term Loan Credit and Guaranty Agreement (2024 Term Loans) that lowered the margin on its interest rate to 1.75%, in the case of Term SOFR Rate (as such term is defined in the Term Loan Credit and Guaranty Agreement, dated as of April 21, 2021, as amended) loans, and 0.75%, in the case of loans at other market rates.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6, 2026, UAL issued, in a public offering, $1,000,000,000 principal amount of its 4.875% Senior Notes due 2029 (the "2029 Notes"), which are guaranteed by United. The 2029 Notes, issued at a price of 100% of their principal amount, bear interest at a rate of 4.875% per annum, payable semi-annually on March 1 and September 1 of each year, beginning September 1, 2026 and maturing on March 1, 2029. UAL, at its option, may redeem the 2029 Notes at any time prior to December 1, 2028, in whole or in part, at a redemption price equal to the greater of (1) 100% of the principal amount of the 2029 Notes to be redeemed and (2) a make-whole amount, if any, plus accrued and unpaid interest on the principal amount being redeemed to the redemption date. At any time on or after December 1, 2028, UAL may redeem the 2029 Notes, in whole or in part, at a redemption price equal to 100% of the principal amount of the 2029 Notes to be redeemed, plus accrued and unpaid interest on the principal amount being redeemed to the redemption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United leases aircraft, airport passenger terminal space, aircraft hangars and related maintenance facilities, cargo terminals, other airport facilities, other commercial real estate, office and computer equipment and vehicles, among other items. Certain of these leases include provisions for variable lease payments which are based on several factors, including, but not limited to, relative leased square footage, available seat miles, enplaned passengers, passenger facility charges, terminal equipment usage fees, departures, and airports' annual operating budgets. Due to the variable nature of these payments, they are not included in the calculation of the right-of-use asset and lease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r>
        <w:rPr>
          <w:rFonts w:ascii="Times New Roman" w:cs="Times New Roman" w:eastAsia="Times New Roman" w:hAnsi="Times New Roman"/>
          <w:sz w:val="18"/>
          <w:szCs w:val="18"/>
          <w:color w:val="auto"/>
        </w:rPr>
        <w:t>. The Company's lease cost for the years ended December 31 included the following components (in millions):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r>
      <w:tr>
        <w:trPr>
          <w:trHeight w:val="21"/>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Lease Terms and Commitments</w:t>
      </w:r>
      <w:r>
        <w:rPr>
          <w:rFonts w:ascii="Times New Roman" w:cs="Times New Roman" w:eastAsia="Times New Roman" w:hAnsi="Times New Roman"/>
          <w:sz w:val="18"/>
          <w:szCs w:val="18"/>
          <w:color w:val="auto"/>
        </w:rPr>
        <w:t>. United's leases include aircraft leases for aircraft that are directly leased by United and aircraft that are operated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carriers on United's behalf under CPAs (but excluding aircraft owned by United) and non-aircraft leases. Aircraft operating leases relate to leases of 81 mainline and 217 regional aircraft while finance leases relate to leases of 27 mainline and 11 regional aircraft. United's aircraft leases have remaining lease terms of up to 12 years with expiration dates ranging from 2026 through 2037. Under the terms of most aircraft leases, United has the right to purchase the aircraft at the end of the lease term, in some cases at fair market value, and in others, at a percentage of cost.</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United also has 63 leases of Boeing 737 MAX, Boeing 787 and Airbus A321neo aircraft under various sale-leaseback transactions. These transactions did not qualify as a sale under the applicable accounting guidance, and, as such, the associated aircraft remain on the Company's consolidated balance sheet as part of Operating property and equipment, net. The related obligations are recorded in Current maturities of long-term debt, finance leases, and other financial liabilities and Long-term debt, finance leases, and other financial liabilities. These aircraft leases have remaining lease terms of 7 years to 11 years with expiration dates ranging from 2032 through 2037.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Non-aircraft leases have remaining lease terms of 1 month to 32 years.</w:t>
      </w:r>
    </w:p>
    <w:p>
      <w:pPr>
        <w:spacing w:after="0" w:line="17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table below summarizes the Company's scheduled future minimum lease payments under operating and finance leases, recorded on the balance sheet, as of December 31, 2025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40" w:type="dxa"/>
            <w:vAlign w:val="bottom"/>
          </w:tcPr>
          <w:p>
            <w:pPr>
              <w:spacing w:after="0"/>
              <w:rPr>
                <w:sz w:val="20"/>
                <w:szCs w:val="20"/>
                <w:color w:val="auto"/>
              </w:rPr>
            </w:pPr>
          </w:p>
        </w:tc>
        <w:tc>
          <w:tcPr>
            <w:tcW w:w="2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2030</w:t>
            </w:r>
          </w:p>
        </w:tc>
        <w:tc>
          <w:tcPr>
            <w:tcW w:w="1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Minimum lease payments</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1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 of lease obligations</w:t>
            </w:r>
          </w:p>
        </w:tc>
        <w:tc>
          <w:tcPr>
            <w:tcW w:w="1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43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future contractual lease payments at December 31, 2025 under then-outstanding sale and leaseback agreements that did not qualify as a sale under the applicable accounting guidance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 Financial Liabilities</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2030</w:t>
            </w:r>
          </w:p>
        </w:tc>
        <w:tc>
          <w:tcPr>
            <w:tcW w:w="2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other financial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2024, at the request of United, the City of Houston, Texas issued special facility revenue bonds in the par amount of approximately</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$1.1 billion (the "IAH SFRBs") to fund a portion of the costs of construction, reconfiguration and redevelopment of portions of Terminal B at George Bush Intercontinental Airport. The IAH SFRBs have interest rates ranging from 5.25% to 5.50% per annum, payable semiannually, commencing in July 2025 through the July 2039 maturity date of the IAH SFRBs. United is accounting for the lease payments related to these IAH SFRBs as an operating lease recognized as a right-of-use asset and lease liability on the Company's balance sheet.</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2025, we had entered into leases with rental obligations of approximately $6.6 billion for several mainline aircraft, regional aircraft under CPAs, airport facilities, including the lease associated with the IAH SFRBs described above, and office space, none of which had commenced as of such date. These leases will commence between 2026 and 2028 with lease terms of up to 28 years.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lease agreements do not provide a readily determinable implicit rate nor is it available to us from our lessors. Instead, we estimate United's incremental borrowing rate based on information available at lease commencement in order to discount lease payments to present value. The table below presents additional information related to our leases as of December 31:</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900" w:type="dxa"/>
            <w:vAlign w:val="bottom"/>
            <w:gridSpan w:val="2"/>
          </w:tcPr>
          <w:p>
            <w:pPr>
              <w:ind w:left="7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4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 years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other financial liabilities</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 years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4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 other financial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4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during the years ended December 31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971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2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1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89</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CONTINGENCIES, AND GUARANTEES</w:t>
      </w:r>
    </w:p>
    <w:p>
      <w:pPr>
        <w:spacing w:after="0" w:line="1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Commitments. </w:t>
      </w:r>
      <w:r>
        <w:rPr>
          <w:rFonts w:ascii="Times New Roman" w:cs="Times New Roman" w:eastAsia="Times New Roman" w:hAnsi="Times New Roman"/>
          <w:sz w:val="18"/>
          <w:szCs w:val="18"/>
          <w:color w:val="auto"/>
        </w:rPr>
        <w:t>The table below summarizes United's firm commitments as of December 31, 2025, which include aircraft and related spare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engines, aircraft improvements and non-aircraft commitments (in billions):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0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After 2030</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bl>
    <w:p>
      <w:pPr>
        <w:spacing w:after="0" w:line="2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Aircraft commitments included in the table above are based on contractual scheduled aircraft deliveries. The amount and timing of these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Regional CPAs. </w:t>
      </w:r>
      <w:r>
        <w:rPr>
          <w:rFonts w:ascii="Times New Roman" w:cs="Times New Roman" w:eastAsia="Times New Roman" w:hAnsi="Times New Roman"/>
          <w:sz w:val="18"/>
          <w:szCs w:val="18"/>
          <w:color w:val="auto"/>
        </w:rPr>
        <w:t>United has contractual relationships with various regional carriers to provide regional aircraft service branded as United Express.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CPAs, the Company pays the regional carriers contractually agreed fees (carrier costs) for operating these flights plus a variable rate adjustment based on agreed performance metrics, subject to annual adjustments. The fees are based on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United's CPAs are for 424 regional aircraft as of December 31, 2025, and the CPAs have terms expiring through 2037. Aircraft operated under CPAs include aircraft leased directly from the regional carriers and those owned by United and operated by the regional carriers. In 2025, United amended several of its CPAs with certain of its regional carriers to amend the contractually agreed fees (carrier costs) paid to those carriers, modify the terms for certain aircraft, and modify service entry dates for certain new aircraft.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recorded approximately $1.1 billion, $1.1 billion and $1.1 billion in expenses related to its CPAs with its regional carriers in which United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 for the years ended December 31, 2025, 2024 and 2023, respectively. United had prepaid assets and accounts and notes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combined carrying values of $82 million and $52 million with these companies, as of December 31, 2025 and 2024, respectively. There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million and $110 million of liabilities due to these companies as of December 31, 2025 and 2024, respectively. The CPAs with these related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executed in the ordinary course of business.</w:t>
      </w:r>
    </w:p>
    <w:p>
      <w:pPr>
        <w:spacing w:after="0" w:line="15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have set forth below estimates of our future payments under the CPAs based on our assumptions. The actual amounts we pay to our regional operators under CPAs could differ materially from these estimates. United's estimates of its future payments under all of the CPAs do not include the portion of the underlying obligation for any aircraft leased to a regional carrier or deemed to be leased from other regional carriers and facility rent that are disclosed as part of operating leases in Note 11. For purposes of calculating these estimates, we have assumed (1) the number of block hours flown is based on our anticipated level of flight activity or at any contractual minimum utilization levels if applicable, whichever is higher, (2) that we will reduce the fleet as rapidly as contractually allowed under each CPA, (3) that aircraft utilization, stage length and load factors will remain constant, (4) that each carrier's operational performance will remain at recent historic levels and (5) an annual projected inflation rate. These amounts exclude certain variable pass-through costs such as fuel and landing fees, among others. Based on these assumptions as of December 31, 2025, our estimated future payments through the end of the terms of our CPAs are presented in the table below (in billions):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0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After 2030</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commitments under CPAs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bl>
    <w:p>
      <w:pPr>
        <w:spacing w:after="0" w:line="22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2025, United had 194 call options to purchase regional jet aircraft being operated by certain of its regional carriers with contract dates extending until 2037. These call options are exercisable upon wrongful termination or breach of contract, among other conditions.</w:t>
      </w:r>
    </w:p>
    <w:p>
      <w:pPr>
        <w:spacing w:after="0" w:line="10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and Environmental. </w:t>
      </w:r>
      <w:r>
        <w:rPr>
          <w:rFonts w:ascii="Times New Roman" w:cs="Times New Roman" w:eastAsia="Times New Roman" w:hAnsi="Times New Roman"/>
          <w:sz w:val="18"/>
          <w:szCs w:val="18"/>
          <w:color w:val="auto"/>
        </w:rPr>
        <w:t>The Company has certain contingencies resulting from litigation and claims incident to the ordinary course of business.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records liabilities for legal and environmental claims when it is probable that a loss has been incurred and the amount is reasonably estimable. These amounts are recorded based on the Company's assessments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likelihood of their eventual disposition. As of December 31, 2025, management believes, after considering a number of factors, including (but not limited to) the information currently available, the views of legal counsel, the nature of contingencies to which the Company is subject and prior experience, that its defenses and assertions in pending legal proceedings have merit and the ultimate disposition of any pending matter will not materially affect the Company's financial position, results of operations or cash flows, except as described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Dispute with Rolls-Royce</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2010, the Company entered into agreements with Rolls-Royce for engine purchases and related maintenance services for certain widebody aircraft. In 2017, the Company paid Rolls-Royce a $175 million commitment payment under those agreements. In December 2025, following a breach by Rolls-Royce, the Company issued a demand for payment representing the commitment payment plus contractual escalation. Rolls-Royce did not make the demanded payment. Rolls-Royce subsequently terminated the referenced agreements with the Company and asserted that the Company breached the agreements. The Company has disputed that Rolls-Royce properly terminated the agreements. Each of the parties contends that the other owes it damages.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taken steps to recover the amounts it believes Rolls-Royce owes the Company, along with other damages to which the Company believes it is entitled. No assurance can be given that the Company will recover the funds it believes it is owed, or to the ultimate outcome of this matter. The Company is also considering further implications of this dispute with respect to other parties. At this time, the Company has determined that a loss is neither probable nor reasonably estimable due to the preliminary nature of this matter. Additionally, the Company has not recognized any gains for this matter as of December 31, 2025. To the extent to which such amounts are determined to be realizable in the future, those gains would be recorded in the period such determination is made.</w:t>
      </w:r>
    </w:p>
    <w:p>
      <w:pPr>
        <w:spacing w:after="0" w:line="12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and Indemnifications. </w:t>
      </w:r>
      <w:r>
        <w:rPr>
          <w:rFonts w:ascii="Times New Roman" w:cs="Times New Roman" w:eastAsia="Times New Roman" w:hAnsi="Times New Roman"/>
          <w:sz w:val="18"/>
          <w:szCs w:val="18"/>
          <w:color w:val="auto"/>
        </w:rPr>
        <w:t>In the normal course of business, the Company enters into numerous real estate leasing and aircraft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that have various guarantees included in the contracts. These guarantees are primarily in the form of indemnities under which the Company typically indemnifies the lessors and any tax/financing parties against liabilities that arise out of or relate to the use, operation or maintenance of the leased premises or financed aircraft. Currently, the Company believes that any future payments required under these guarantees or indemnities would be immaterial, as most liabilities and related indemnities are covered by insurance (subject to deductibles). Additionally, certain real estate leases include indemnities for any environmental liability that may arise out of or relate to the use of the leased premises.</w:t>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2025, United is the guarantor of approximately $2.8 billion in aggregate principal amount of tax-exempt special facility revenue bonds and interest thereon. These bonds, which in most instances are issued by various airport municipalities, are payable solely from rentals paid under long-term agreements with the respective governing bodies. The leasing arrangements associated with these obligations are accounted for as operating leases and the related obligations are included in our lease related disclosures in Note 11. All of these bonds mature between 2026 and 2041.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United had $395 million of surety bonds securing various insurance-related obligations with expiration dates through 2029.</w:t>
      </w:r>
    </w:p>
    <w:p>
      <w:pPr>
        <w:spacing w:after="0" w:line="16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Increased Cost Provisions. </w:t>
      </w:r>
      <w:r>
        <w:rPr>
          <w:rFonts w:ascii="Times New Roman" w:cs="Times New Roman" w:eastAsia="Times New Roman" w:hAnsi="Times New Roman"/>
          <w:sz w:val="18"/>
          <w:szCs w:val="18"/>
          <w:color w:val="auto"/>
        </w:rPr>
        <w:t>In United's financing transactions that include loans in which United is the borrower, United typically agrees to reimburse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lenders for any reduced returns with respect to the loans due to any change in capital requirements and, in the case of loans with respect to which the interest rate is based on SOFR,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2025, the Company had $8.6 billion of floating rate debt with remaining terms of up to approximately 12 years that are subject to these increased cost provisions. In several financing transactions with remaining terms of up to approximately 12 years and an aggregate balance of $5.4 billion, the Company bears the risk of any change in tax laws that would subject loan payments thereunder to withholding taxes, subject to customary exclusions.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Fuel Consortia. </w:t>
      </w:r>
      <w:r>
        <w:rPr>
          <w:rFonts w:ascii="Times New Roman" w:cs="Times New Roman" w:eastAsia="Times New Roman" w:hAnsi="Times New Roman"/>
          <w:sz w:val="18"/>
          <w:szCs w:val="18"/>
          <w:color w:val="auto"/>
        </w:rPr>
        <w:t>United participates in numerous fuel consortia with other air carriers at major airports to reduce the costs of fuel distribution and storage.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various debt obligations. In general, each consortium lease agreement requires the consortium to make lease payments in amounts sufficient to pay the maturing principal and interest payments on these debt obligations. As of December 31, 2025, approximately $2.9 billion principal amount of such loans was secured by significant fuel facility leases in which United participates, as to which United and each of the signatory airlines has provided indirect guarantees of the debt. As of December 31, 2025, the Company's contingent exposure was approximately $513 million principal amount of such obligations based on its recent consortia participation. The Company's contingent exposure could increase if the participation of</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air carriers decreases. The guarantees will expire when these obligations are paid in full, which ranges from 2027 to 2056. The Company concluded it was not necessary to record a liability for these indirect guarantees.</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Card Processing Agreements. </w:t>
      </w:r>
      <w:r>
        <w:rPr>
          <w:rFonts w:ascii="Times New Roman" w:cs="Times New Roman" w:eastAsia="Times New Roman" w:hAnsi="Times New Roman"/>
          <w:sz w:val="18"/>
          <w:szCs w:val="18"/>
          <w:color w:val="auto"/>
        </w:rPr>
        <w:t>The Company has agreements with financial institutions that process customer credit card transactions for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air travel and other services. Under certain of the Company's credit card processing agreements, the financial institutions in certain circumstances have the right to require that the Company maintain a reserve equal to a portion of advance ticket sales that has been processed by that financial institution, but for which the Company has not yet provided the air transportation. Such financial institutions may require additional cash or other collateral reserves to be established or additional withholding of payments related to receivables collected if the Company does not maintain certain minimum levels of unrestricted cash, cash equivalents and short-term investments (collectively, "Unrestricted Liquidity"). The Company's current level of Unrestricted Liquidity is substantially in excess of these minimum levels.</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Negotiations. </w:t>
      </w:r>
      <w:r>
        <w:rPr>
          <w:rFonts w:ascii="Times New Roman" w:cs="Times New Roman" w:eastAsia="Times New Roman" w:hAnsi="Times New Roman"/>
          <w:sz w:val="18"/>
          <w:szCs w:val="18"/>
          <w:color w:val="auto"/>
        </w:rPr>
        <w:t>As of December 31, 2025, United, including its subsidiaries, had approximately 113,200 employees. Approximately 83% of United's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were represented by various U.S. labor organizations.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2025, the Company reached a Tentative Agreement ("TA") with its employees represented by the Association of Flight Attendants ("AFA") regarding an agreement that became amendable in August 2021. The TA included improvements with respect to scheduling, reserve requirements and other quality of life improvements, as well as pay rate increases during its five-year term. The TA also included a provision for a one-time payment to employees represented by the AFA upon ratification. In the second quarter of 2025, the Company recorded, in Special charges, $561 million of expenses related to this ratification payment. On July 29, 2025, the Company's employees represented by the AFA voted against ratification of the TA. As of the date of this report, the Company and the AFA continue their negotiations for a revised 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SPECIAL CHARGES (CREDITS)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operating and nonoperating special charges (credits) and unrealized (gains) losses on investments in the statements of consolidated operations consisted of the following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contract ratification bonuses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(Gains) losses on sale of assets and other special charges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special charges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unrealized (gains) losses on investments,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debt extinguishment and modification fees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nonoperating special charges and unrealized (gains) losses on investments,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and nonoperating special charges and unrealized (gains) losses on investments,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net of valuation allowance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55"/>
        </w:trPr>
        <w:tc>
          <w:tcPr>
            <w:tcW w:w="75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operating and nonoperating special charges and unrealized (gains) losses on investments, net of</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nonoperating special charges (credits) and unrealized (gains) losses on investments included the following:</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2025, the Company recorded a $561 million special charge in connection with a proposed labor contract ratification payment for the Company's employees represented by the AFA. See Note 12 for more information related to this labor contract.</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2025, the Company recorded $303 million of net gains on sale of assets and other special charges, which were primarily comprised of $427 million of gains on various aircraft sale-leaseback transactions, partially offset by $125 million in other charges mainly consisting of certain one-time expenses related to the Three Party Agreement in connection with the merger between Mesa and Legacy Republic and write-offs related to various cancelled projects.</w:t>
      </w:r>
    </w:p>
    <w:p>
      <w:pPr>
        <w:spacing w:after="0" w:line="1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2025, the Company recorded $20 million of charges related to the prepayment in full of the outstanding principal balance of the MileagePlus senior secured notes in July 2025. See Note 10 for more information related to this prepayment.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2024, the Company recorded $128 million of charges related to the prepayment in full of the outstanding principal balance of the MileagePlus Term Loan in July 2024, the refinancing of its 2021 term loans in February 2024 and a partial prepayment of the 2024 Term Loans.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 and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UAL and United each maintain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as defined in Rules 13a-15(e) and 15d-15(e) under the Exchange Act were designed and operating effectively to report the information each company is required to disclose in the reports they file with the SEC on a timely basis. Based on that evaluation, the Chief Executive Officer and the Chief Financial Officer of UAL and United have concluded that as of December 31, 2025, disclosure controls and procedures were effective.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Reports on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UAL and United Management's Reports on Internal Control Over Financial Reporting are included herein.</w:t>
      </w:r>
    </w:p>
    <w:p>
      <w:pPr>
        <w:spacing w:after="0" w:line="17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Ernst &amp; Young LLP, an independent registered public accounting firm, has audited the Company's financial statements included in this Form 10-K and issued its report on the effectiveness of the Company's internal control over financial reporting as of December 31, 2025, which is included herein.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 during the Quarter Ended December 31, 2025</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there was no change in UAL's or United's internal control over financial reporting that materially affected, or is reasonably likely to materially affect, their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United Airlines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United Airlines Holdings, Inc.'s (the "Company") internal control over financial reporting as of December 31, 2025,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2025, based on the COSO criteria.</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2025 consolidated financial statements and our report dated February 12, 2026 expressed an unqualified opinion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Reports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w:t>
      </w:r>
      <w:r>
        <w:rPr>
          <w:rFonts w:ascii="Times New Roman" w:cs="Times New Roman" w:eastAsia="Times New Roman" w:hAnsi="Times New Roman"/>
          <w:sz w:val="18"/>
          <w:szCs w:val="18"/>
          <w:color w:val="FFFFFF"/>
        </w:rPr>
        <w:t>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Airlines Holdings, Inc. Management Report on Internal Control Over Financial Reporting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United Airlines Holdings,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management of United Airlines Holdings, Inc. ("UAL")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conducted an evaluation of the design and operating effectiveness of our internal control over financial reporting as of December 31, 2025. In making this assessment, management used the framework set forth in Internal Control—Integrated Framework (2013 Framework) issued by the Committee of the Sponsoring Organizations of the Treadway Commission. Based on this evaluation, our Chief Executive Officer and Chief Financial Officer concluded that our internal control over financial reporting was effective as of December 31, 2025.</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who audited UAL's consolidated financial statements included in this Form 10-K, has issued a report on UAL's internal control over financial reporting, which is included herein.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Airlines, Inc. Management Report on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of United Airlines, Inc.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management of United Airlines, Inc. ("United") is responsible for establishing and maintaining adequate internal control over financial reporting, as such term is defined in Exchange Act Rule 13a-15(f). United's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United's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United's Chief Executive Officer and Chief Financial Officer, United conducted an evaluation of the design and operating effectiveness of its internal control over financial reporting as of December 31, 2025. In making this assessment, management used the framework set forth in Internal Control—Integrated Framework (2013 Framework) issued by the Committee of the Sponsoring Organizations of the Treadway Commission. Based on this evaluation, United's Chief Executive Officer and Chief Financial Officer concluded that its internal control over financial reporting was effective as of December 31, 2025.</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United's registered public accounting firm regarding internal control over financial reporting. Management's report was not subject to attestation by United's registered public accounting firm pursuant to the rules of the Securities and Exchange Commission that permit United to provide only management's report in this annual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2025, no director or "officer" (as defined in Rule 16a-1(f) under the Exchange Act) of the Company or United informed the Company or United of the adoption, modification or termination of a "Rule 10b5-1 trading arrangement" or a "non-Rule 10b5-1 trading arrangement," as each term is defined in Item 408(a) of Regulation S-K under the Exchange Act.</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Reference is made to the 2026 Proxy Statement with respect to information about UAL's directors under the principal heading "Item 1 – Election of Directors", including under the subheadings "Director Biographical information" and "Director Qualifications", and information about UAL's corporate governance under the subheadings "Board Selection and Election" and "How the Board is Organized" under the principal heading "Board and Corporate Governance Matters" in the 2026 Proxy Statement, which is incorporated herein by reference and made a part hereof in response to the information required by Item 10 with respect to UAL.</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with respect to UAL's and United's executive officers has been included in Part I of this Form 10-K under the caption "Information about Our Executive Officers" and is incorporated herein by reference and made a part hereof in response to the information required by Item 10 with respect to UAL.</w:t>
      </w:r>
    </w:p>
    <w:p>
      <w:pPr>
        <w:spacing w:after="0" w:line="12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Reference is made to information with respect to UAL's non-compliance with Section 16(a) of the Exchange Act, if applicable, under the subheading "Delinquent Section 16(a) Reports" under the principal heading "Securities Ownership" in the 2026 Proxy Statement, which is incorporated herein by reference and made a part hereof in response to the information required by Item 10 with respect to UAL.</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Code of Ethics. </w:t>
      </w:r>
      <w:r>
        <w:rPr>
          <w:rFonts w:ascii="Times New Roman" w:cs="Times New Roman" w:eastAsia="Times New Roman" w:hAnsi="Times New Roman"/>
          <w:sz w:val="18"/>
          <w:szCs w:val="18"/>
          <w:color w:val="auto"/>
        </w:rPr>
        <w:t>The Company has a code of ethics, the "Code of Ethics and Business Conduct," for its directors, officers and employees. The code serves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"Code of Ethics" as defined by SEC regulations, and as a "Code of Conduct" under Nasdaq Listing Rule 5610. The code is available on the Company's investor relations website at ir.united.com. Waivers granted to certain officers from compliance with or future amendments to the code will be disclosed on the Company's investor relations website in accordance with Item 5.05 of Form 8-K.</w:t>
      </w:r>
    </w:p>
    <w:p>
      <w:pPr>
        <w:spacing w:after="0" w:line="12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Insider Trading Policy</w:t>
      </w:r>
      <w:r>
        <w:rPr>
          <w:rFonts w:ascii="Times New Roman" w:cs="Times New Roman" w:eastAsia="Times New Roman" w:hAnsi="Times New Roman"/>
          <w:sz w:val="18"/>
          <w:szCs w:val="18"/>
          <w:color w:val="auto"/>
        </w:rPr>
        <w:t>. The Company has adopted an insider trading policy that governs the purchase, sale and any other dispositions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by the Company's directors, officers and employees and by UAL itself. The Company believes that this policy is reasonably designed to promote compliance with insider trading laws, rules and regulations, as well as the Nasdaq listing standards. A copy of the United Airlines Holdings, Inc. Securities Trading Policy is filed as Exhibit 19 to this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with respect to United is omitted pursuant to General Instruction I(2)(c) of Form 10-K.</w:t>
      </w:r>
    </w:p>
    <w:p>
      <w:pPr>
        <w:spacing w:after="0" w:line="16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Reference is made to the 2026 Proxy Statement with respect to information about UAL's executive and director compensation and certain related matters, which is incorporated herein by reference and made a part hereof in response to the information required by Item 11 with respect to UAL.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with respect to United is omitted pursuant to General Instruction I(2)(c) of Form 10-K.</w:t>
      </w:r>
    </w:p>
    <w:p>
      <w:pPr>
        <w:spacing w:after="0" w:line="181" w:lineRule="exact"/>
        <w:rPr>
          <w:sz w:val="20"/>
          <w:szCs w:val="20"/>
          <w:color w:val="auto"/>
        </w:rPr>
      </w:pPr>
    </w:p>
    <w:p>
      <w:pPr>
        <w:ind w:left="940" w:right="38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2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Reference is made to the 2026 Proxy Statement with respect to the security ownership of certain beneficial owners and management and certain equity compensation plan information, which is incorporated herein by reference and made a part hereof in response to the information required by Item 12 with respect to UAL.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with respect to United is omitted pursuant to General Instruction I(2)(c) of Form 10-K.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Reference is made to the 2026 Proxy Statement with respect to information about certain relationships and related transactions and director independence, which is incorporated herein by reference and made a part hereof in response to the information required by Item 13 with respect to UAL.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with respect to United is omitted pursuant to General Instruction I(2)(c) of Form 10-K.</w:t>
      </w:r>
    </w:p>
    <w:p>
      <w:pPr>
        <w:spacing w:after="0" w:line="16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Audit Committee has adopted a policy on pre-approval of services of the Company's independent registered public accounting firm. As a wholly-owned subsidiary of UAL, United's audit services are determined by UAL. The policy provides that the Audit Committee shall pre-approve all audit and non-audit services to be provided to UAL and its subsidiaries and affiliates by its independent auditors. The process by which this is carried out is as follows: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1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Any requests for audit and tax services not contemplated with the recurring services approval described above must be submitted to the Audit Committee for specific pre-approval and services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 periodic basis, the Audit Committee reviews the status of services and fees incurred year-to-date and a list of newly pre-approved services since its last regularly scheduled meeting. The Audit Committee has considered whether the 2025 and 2024 non-audit services provided by Ernst &amp; Young LLP, the Company's independent registered public accounting firm, are compatible with maintaining auditor independence and concluded that such services were compatible with maintaining Ernst &amp; Young LLP's independence.</w:t>
      </w:r>
    </w:p>
    <w:p>
      <w:pPr>
        <w:spacing w:after="0" w:line="12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All of the services in 2025 and 2024 under the Audit Fees and Tax Fees categories below have been approved by the Audit Committee pursuant to paragraph (c)(7) of Rule 2-01 of Regulation S-X of the Exchange 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fees billed for professional services rendered by the Company's independent auditors in 2025 and 2024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5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2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r>
      <w:tr>
        <w:trPr>
          <w:trHeight w:val="229"/>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For 2025 and 2024, audit fees consist primarily of the audit and quarterly reviews of the consolidated financial statements and the audit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effectiveness of internal control over financial reporting of the Company and its wholly-owned subsidiaries. Audit fees also include the audit of the consolidated financial statements of United Airlines,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125"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Tax Fees. </w:t>
      </w:r>
      <w:r>
        <w:rPr>
          <w:rFonts w:ascii="Times New Roman" w:cs="Times New Roman" w:eastAsia="Times New Roman" w:hAnsi="Times New Roman"/>
          <w:sz w:val="17"/>
          <w:szCs w:val="17"/>
          <w:color w:val="auto"/>
        </w:rPr>
        <w:t>Tax fees for 2025 and 2024 relate to professional services provided for research and consultations regarding tax accounting and tax compliance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matters and review of U.S. and international tax impacts of certain transactions, exclusive of tax services rendered in connection with the audit.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ind w:left="1000" w:hanging="974"/>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223" w:lineRule="exact"/>
        <w:rPr>
          <w:rFonts w:ascii="Times New Roman" w:cs="Times New Roman" w:eastAsia="Times New Roman" w:hAnsi="Times New Roman"/>
          <w:sz w:val="18"/>
          <w:szCs w:val="18"/>
          <w:color w:val="auto"/>
        </w:rPr>
      </w:pPr>
    </w:p>
    <w:p>
      <w:pPr>
        <w:ind w:left="1000" w:right="200" w:hanging="772"/>
        <w:spacing w:after="0" w:line="238" w:lineRule="auto"/>
        <w:tabs>
          <w:tab w:leader="none" w:pos="10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required by this item are listed in Part II, Item 8,</w:t>
      </w:r>
      <w:r>
        <w:rPr>
          <w:rFonts w:ascii="Times New Roman" w:cs="Times New Roman" w:eastAsia="Times New Roman" w:hAnsi="Times New Roman"/>
          <w:sz w:val="18"/>
          <w:szCs w:val="18"/>
          <w:i w:val="1"/>
          <w:iCs w:val="1"/>
          <w:color w:val="auto"/>
        </w:rPr>
        <w:t xml:space="preserve"> Financial Statements and Supplementary Data </w:t>
      </w:r>
      <w:r>
        <w:rPr>
          <w:rFonts w:ascii="Times New Roman" w:cs="Times New Roman" w:eastAsia="Times New Roman" w:hAnsi="Times New Roman"/>
          <w:sz w:val="18"/>
          <w:szCs w:val="18"/>
          <w:color w:val="auto"/>
        </w:rPr>
        <w:t>herein.</w:t>
      </w:r>
    </w:p>
    <w:p>
      <w:pPr>
        <w:spacing w:after="0" w:line="169" w:lineRule="exact"/>
        <w:rPr>
          <w:rFonts w:ascii="Times New Roman" w:cs="Times New Roman" w:eastAsia="Times New Roman" w:hAnsi="Times New Roman"/>
          <w:sz w:val="18"/>
          <w:szCs w:val="18"/>
          <w:color w:val="auto"/>
        </w:rPr>
      </w:pPr>
    </w:p>
    <w:p>
      <w:pPr>
        <w:ind w:left="1000" w:hanging="772"/>
        <w:spacing w:after="0" w:line="238" w:lineRule="auto"/>
        <w:tabs>
          <w:tab w:leader="none" w:pos="10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Financial statement schedules are not included herein as they are not applicable, not required or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is shown in the consolidated financial statements or notes thereto.</w:t>
      </w:r>
    </w:p>
    <w:p>
      <w:pPr>
        <w:spacing w:after="0" w:line="210" w:lineRule="exact"/>
        <w:rPr>
          <w:rFonts w:ascii="Times New Roman" w:cs="Times New Roman" w:eastAsia="Times New Roman" w:hAnsi="Times New Roman"/>
          <w:sz w:val="18"/>
          <w:szCs w:val="18"/>
          <w:color w:val="auto"/>
        </w:rPr>
      </w:pPr>
    </w:p>
    <w:p>
      <w:pPr>
        <w:ind w:left="1000" w:hanging="974"/>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required by this item are provided in the 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20" w:type="dxa"/>
            <w:vAlign w:val="bottom"/>
            <w:gridSpan w:val="23"/>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7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40" w:type="dxa"/>
            <w:vAlign w:val="bottom"/>
            <w:gridSpan w:val="20"/>
          </w:tcPr>
          <w:p>
            <w:pPr>
              <w:ind w:left="8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466"/>
        </w:trPr>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Articles of Incorporation and Bylaws</w:t>
            </w:r>
          </w:p>
        </w:tc>
        <w:tc>
          <w:tcPr>
            <w:tcW w:w="1120" w:type="dxa"/>
            <w:vAlign w:val="bottom"/>
            <w:gridSpan w:val="2"/>
          </w:tcPr>
          <w:p>
            <w:pPr>
              <w:spacing w:after="0"/>
              <w:rPr>
                <w:sz w:val="24"/>
                <w:szCs w:val="24"/>
                <w:color w:val="auto"/>
              </w:rPr>
            </w:pPr>
          </w:p>
        </w:tc>
        <w:tc>
          <w:tcPr>
            <w:tcW w:w="580" w:type="dxa"/>
            <w:vAlign w:val="bottom"/>
            <w:tcBorders>
              <w:top w:val="single" w:sz="8" w:color="auto"/>
            </w:tcBorders>
            <w:gridSpan w:val="2"/>
          </w:tcPr>
          <w:p>
            <w:pPr>
              <w:spacing w:after="0"/>
              <w:rPr>
                <w:sz w:val="24"/>
                <w:szCs w:val="24"/>
                <w:color w:val="auto"/>
              </w:rPr>
            </w:pPr>
          </w:p>
        </w:tc>
        <w:tc>
          <w:tcPr>
            <w:tcW w:w="40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Amended and Restated Certificate of Incorporation of United Airlines Holdings, Inc. (filed as Exhibit 3.1 to UAL's</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Form 8-K filed June 27, 2019 and incorporated herein by reference)</w:t>
              </w:r>
            </w:hyperlink>
          </w:p>
        </w:tc>
        <w:tc>
          <w:tcPr>
            <w:tcW w:w="34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Amended and Restated Bylaws of United Airlines Holdings, Inc. (filed as Exhibit 3.1 to UAL's Form 8-K filed</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December 18, 2024 and incorporated herein by reference)</w:t>
              </w:r>
            </w:hyperlink>
          </w:p>
        </w:tc>
        <w:tc>
          <w:tcPr>
            <w:tcW w:w="2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Certificate of Designation of the Series A Junior Participating Serial Preferred Stock of United Airlines Holdings, Inc.</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(filed as Exhibit 3.1 to UAL's Registration Statement on Form 8-A filed December 7, 2020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reference)</w:t>
              </w:r>
            </w:hyperlink>
          </w:p>
        </w:tc>
        <w:tc>
          <w:tcPr>
            <w:tcW w:w="7800" w:type="dxa"/>
            <w:vAlign w:val="bottom"/>
            <w:gridSpan w:val="2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Certificate of Incorporation of United Airlines, Inc. (filed as Exhibit 3.1 to UAL's Form 8-K</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filed April 3, 2013 and incorporated herein by reference)</w:t>
              </w:r>
            </w:hyperlink>
          </w:p>
        </w:tc>
        <w:tc>
          <w:tcPr>
            <w:tcW w:w="42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By-laws of United Airlines, Inc. (filed as Exhibit 3.2 to UAL's Form 8-K filed April 3, 2013</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3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Instruments Defining Rights of Security Holders, Including Indentures</w:t>
            </w:r>
          </w:p>
        </w:tc>
        <w:tc>
          <w:tcPr>
            <w:tcW w:w="31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Indenture, dated as of May 7, 2013, among United Continental Holdings, Inc., United Airlines, Inc. and The Bank of</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New York Mellon Trust Company, N.A., as Trustee (filed as Exhibit 4.1 to UAL's Form 8-K filed on May 10, 2013</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32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Promissory Note, dated as of April 20, 2020, among United Airlines Holdings, Inc., United Airlines, Inc., as</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3120" w:type="dxa"/>
            <w:vAlign w:val="bottom"/>
            <w:gridSpan w:val="4"/>
            <w:shd w:val="clear" w:color="auto" w:fill="0000FF"/>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560" w:type="dxa"/>
            <w:vAlign w:val="bottom"/>
            <w:gridSpan w:val="24"/>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guarantor, and the United States Department of the Treasury (filed as Exhibit 4.1 to UAL's Form 8-K filed April 23,</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2020 and incorporated herein by reference)</w:t>
              </w:r>
            </w:hyperlink>
          </w:p>
        </w:tc>
        <w:tc>
          <w:tcPr>
            <w:tcW w:w="5220" w:type="dxa"/>
            <w:vAlign w:val="bottom"/>
            <w:tcBorders>
              <w:top w:val="single" w:sz="8" w:color="0000FF"/>
            </w:tcBorders>
            <w:gridSpan w:val="12"/>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Promissory Note, dated as of January 15, 2021, among United Airlines Holdings, Inc., United Airlines, Inc., as</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7980" w:type="dxa"/>
            <w:vAlign w:val="bottom"/>
            <w:gridSpan w:val="11"/>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560" w:type="dxa"/>
            <w:vAlign w:val="bottom"/>
            <w:gridSpan w:val="24"/>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guarantor, and the United States Department of the Treasury (filed as Exhibit 4.1 to UAL's Form 8-K filed January 20,</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2021 and incorporated herein by reference)</w:t>
              </w:r>
            </w:hyperlink>
          </w:p>
        </w:tc>
        <w:tc>
          <w:tcPr>
            <w:tcW w:w="540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Indenture, dated as of April 21, 2021, among United Airlines, Inc., United Airlines Holdings, Inc. and Wilmington</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Trust, National Association, as trustee and as collateral trustee (filed as Exhibit 4.1 to UAL's Form 8-K filed April</w:t>
              </w:r>
            </w:hyperlink>
          </w:p>
        </w:tc>
        <w:tc>
          <w:tcPr>
            <w:tcW w:w="320" w:type="dxa"/>
            <w:vAlign w:val="bottom"/>
            <w:gridSpan w:val="11"/>
          </w:tcPr>
          <w:p>
            <w:pPr>
              <w:jc w:val="right"/>
              <w:ind w:right="80"/>
              <w:spacing w:after="0" w:line="156" w:lineRule="exact"/>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22,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2021 and incorporated herein by reference)</w:t>
        </w:r>
      </w:hyperlink>
    </w:p>
    <w:p>
      <w:pPr>
        <w:sectPr>
          <w:pgSz w:w="11900" w:h="16838" w:orient="portrait"/>
          <w:cols w:equalWidth="0" w:num="1">
            <w:col w:w="11100"/>
          </w:cols>
          <w:pgMar w:left="320" w:top="18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80" w:right="47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4.375% Senior Secured Notes due 2026 (filed as Exhibit 4.2 to UAL's Form 8-K filed April 22, 2021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Form of Notation of Guarantee for the 4.375% Senior Secured Notes due 2026 (filed as Exhibit 4.3 to UAL's Form 8-</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43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K filed April 22, 2021 and incorporated herein by reference)</w:t>
              </w:r>
            </w:hyperlink>
          </w:p>
        </w:tc>
        <w:tc>
          <w:tcPr>
            <w:tcW w:w="41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4.625% Senior Secured Notes due 2029 (filed as Exhibit 4.4 to UAL's Form 8-K filed April 22, 2021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Form of Notation of Guarantee for the 4.625% Senior Secured Notes due 2029 (filed as Exhibit 4.5 to UAL's Form 8-</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43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K filed April 22, 2021 and incorporated herein by reference)</w:t>
              </w:r>
            </w:hyperlink>
          </w:p>
        </w:tc>
        <w:tc>
          <w:tcPr>
            <w:tcW w:w="41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Promissory Note, dated as of April 29, 2021, among United Airlines Holdings, Inc., United Airlines, Inc., as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vMerge w:val="restart"/>
          </w:tcPr>
          <w:p>
            <w:pPr>
              <w:ind w:left="44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1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8500" w:type="dxa"/>
            <w:vAlign w:val="bottom"/>
            <w:gridSpan w:val="22"/>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guarantor, and the United States Department of the Treasury (filed as Exhibit 4.1 to UAL's Form 8-K filed April 30,</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2021 and incorporated herein by reference)</w:t>
              </w:r>
            </w:hyperlink>
          </w:p>
        </w:tc>
        <w:tc>
          <w:tcPr>
            <w:tcW w:w="524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Sixth Supplemental Indenture, dated as of February 2, 2026, among United Airlines Holdings, Inc., United Airlines,</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 and The Bank of New York Mellon Trust Company, N.A., as Trustee (filed as Exhibit 4.2 to UAL's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filed February 2, 2026 and incorporated herein by reference)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5.375% Senior Notes due 2031 (filed as Exhibit 4.3 to UAL's Form 8-K filed February 2, 2026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8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incorporated herein by reference)</w:t>
              </w:r>
            </w:hyperlink>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Notation of Note Guarantee for the 5.375% Senior Notes due 2031 (filed as Exhibit 4.4 to UAL's Form 8-K</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filed February 2, 2026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Seventh Supplemental Indenture, dated as of February 6, 2026, among United Airlines Holdings, Inc., United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vMerge w:val="restart"/>
          </w:tcPr>
          <w:p>
            <w:pPr>
              <w:ind w:left="44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1460" w:type="dxa"/>
            <w:vAlign w:val="bottom"/>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8500" w:type="dxa"/>
            <w:vAlign w:val="bottom"/>
            <w:gridSpan w:val="2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Airlines, Inc. and The Bank of New York Mellon Trust Company, N.A., as Trustee (filed as Exhibit 4.2 to UAL's</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12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8-K filed February 6, 2026 and incorporated herein by reference)</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4.875% Senior Notes due 2029 (filed as Exhibit 4.3 to UAL's Form 8-K filed February 6, 2026 and</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8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herein by reference)</w:t>
              </w:r>
            </w:hyperlink>
          </w:p>
        </w:tc>
        <w:tc>
          <w:tcPr>
            <w:tcW w:w="3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Notation of Note Guarantee for the 4.875% Senior Notes due 2029 (filed as Exhibit 4.4 to UAL's Form 8-K</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filed February 6, 2026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Tax Benefits Preservation Plan, dated as of December 4, 2020, by and between United Airlines Holdings, Inc.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Computershare Trust Company, N.A., as rights agent (which includes the Form of Rights Certificate as Exhibit B</w:t>
              </w:r>
            </w:hyperlink>
          </w:p>
        </w:tc>
        <w:tc>
          <w:tcPr>
            <w:tcW w:w="60" w:type="dxa"/>
            <w:vAlign w:val="bottom"/>
            <w:tcBorders>
              <w:top w:val="single" w:sz="8" w:color="0000FF"/>
            </w:tcBorders>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500" w:type="dxa"/>
            <w:vAlign w:val="bottom"/>
            <w:gridSpan w:val="22"/>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thereto) (filed as Exhibit 4.1 to UAL's Registration Statement on Form 8-A filed December 7, 2020 and incorporated</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herein by reference)</w:t>
              </w:r>
            </w:hyperlink>
          </w:p>
        </w:tc>
        <w:tc>
          <w:tcPr>
            <w:tcW w:w="6980" w:type="dxa"/>
            <w:vAlign w:val="bottom"/>
            <w:tcBorders>
              <w:top w:val="single" w:sz="8" w:color="0000FF"/>
            </w:tcBorders>
            <w:gridSpan w:val="19"/>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 1 to Tax Benefits Preservation Plan, dated as of January 21, 2021, by and between United Airlines</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3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Holdings, Inc. and Computershare Trust Company, N.A., as rights agent (filed as Exhibit 4.18 to UAL's Form 10-K</w:t>
              </w:r>
            </w:hyperlink>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5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for the year ended December 31, 2020 and incorporated herein by reference)</w:t>
              </w:r>
            </w:hyperlink>
          </w:p>
        </w:tc>
        <w:tc>
          <w:tcPr>
            <w:tcW w:w="2800" w:type="dxa"/>
            <w:vAlign w:val="bottom"/>
            <w:tcBorders>
              <w:top w:val="single" w:sz="8" w:color="0000FF"/>
            </w:tcBorders>
            <w:gridSpan w:val="8"/>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00" w:type="dxa"/>
            <w:vAlign w:val="bottom"/>
            <w:gridSpan w:val="2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Amendment No. 2 to Tax Benefits Preservation Plan, dated as of December 4, 2023, by and between United Airlines</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Holdings, Inc. and Computershare Trust Company, N.A., as rights agent (filed as Exhibit 4.3 to UAL's Form 8-A/A</w:t>
              </w:r>
            </w:hyperlink>
          </w:p>
        </w:tc>
        <w:tc>
          <w:tcPr>
            <w:tcW w:w="100" w:type="dxa"/>
            <w:vAlign w:val="bottom"/>
            <w:tcBorders>
              <w:top w:val="single" w:sz="8" w:color="0000FF"/>
            </w:tcBorders>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filed on December 4, 2023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80" w:right="6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1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Amendment No. 3 to Tax Benefits Preservation Plan, dated as of April 22, 2024, by and between United Airlines</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540" w:type="dxa"/>
            <w:vAlign w:val="bottom"/>
            <w:gridSpan w:val="3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Holdings, Inc. and Computershare Trust Company, N.A., as rights agent (filed as Exhibit 4.4 to UAL's Form 8-A/A</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3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filed on April 23, 2024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Description of the Registrant's Securities Registered Pursuant to Section 12 of the Securities Exchange Act of 1934</w:t>
            </w:r>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w:t>
            </w: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Material Contracts</w:t>
            </w:r>
          </w:p>
        </w:tc>
        <w:tc>
          <w:tcPr>
            <w:tcW w:w="7060" w:type="dxa"/>
            <w:vAlign w:val="bottom"/>
            <w:gridSpan w:val="30"/>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Borders>
              <w:bottom w:val="single" w:sz="8" w:color="auto"/>
            </w:tcBorders>
            <w:gridSpan w:val="2"/>
            <w:vMerge w:val="continue"/>
          </w:tcPr>
          <w:p>
            <w:pPr>
              <w:spacing w:after="0"/>
              <w:rPr>
                <w:sz w:val="24"/>
                <w:szCs w:val="24"/>
                <w:color w:val="auto"/>
              </w:rPr>
            </w:pPr>
          </w:p>
        </w:tc>
        <w:tc>
          <w:tcPr>
            <w:tcW w:w="7060" w:type="dxa"/>
            <w:vAlign w:val="bottom"/>
            <w:gridSpan w:val="3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Agreement, dated as of April 19, 2016, by and among PAR Capital Management, Inc., Altimeter Capital</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5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Management, LP, United Continental Holdings, Inc. and the other signatories listed on the signature page</w:t>
              </w:r>
            </w:hyperlink>
          </w:p>
        </w:tc>
        <w:tc>
          <w:tcPr>
            <w:tcW w:w="20" w:type="dxa"/>
            <w:vAlign w:val="bottom"/>
          </w:tcPr>
          <w:p>
            <w:pPr>
              <w:spacing w:after="0"/>
              <w:rPr>
                <w:sz w:val="13"/>
                <w:szCs w:val="13"/>
                <w:color w:val="auto"/>
              </w:rPr>
            </w:pPr>
          </w:p>
        </w:tc>
        <w:tc>
          <w:tcPr>
            <w:tcW w:w="1000" w:type="dxa"/>
            <w:vAlign w:val="bottom"/>
            <w:gridSpan w:val="21"/>
          </w:tcPr>
          <w:p>
            <w:pPr>
              <w:ind w:left="80"/>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thereto</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(filed as Exhibit 10.1 to UAL's Form 8-K filed April 20, 2016 and incorporated herein by reference)</w:t>
              </w:r>
            </w:hyperlink>
          </w:p>
        </w:tc>
        <w:tc>
          <w:tcPr>
            <w:tcW w:w="90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7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United Airlines Holdings, Inc. Profit Sharing Plan (amended and restated effective January 1, 2025)</w:t>
            </w:r>
          </w:p>
        </w:tc>
        <w:tc>
          <w:tcPr>
            <w:tcW w:w="134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Stock Option Award Notice, dated as of December 4, 2019, to J. Scott Kirby pursuant to the United Continental</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Holdings, Inc. 2017 Incentive Compensation Plan (filed as Exhibit 10.2 to UAL's Form 8-K filed December 6,</w:t>
              </w:r>
            </w:hyperlink>
          </w:p>
        </w:tc>
        <w:tc>
          <w:tcPr>
            <w:tcW w:w="380" w:type="dxa"/>
            <w:vAlign w:val="bottom"/>
            <w:gridSpan w:val="9"/>
          </w:tcPr>
          <w:p>
            <w:pPr>
              <w:jc w:val="right"/>
              <w:ind w:right="60"/>
              <w:spacing w:after="0" w:line="156" w:lineRule="exact"/>
              <w:rPr>
                <w:rFonts w:ascii="Times New Roman" w:cs="Times New Roman" w:eastAsia="Times New Roman" w:hAnsi="Times New Roman"/>
                <w:sz w:val="18"/>
                <w:szCs w:val="18"/>
                <w:color w:val="0000FF"/>
                <w:w w:val="83"/>
              </w:rPr>
            </w:pPr>
            <w:hyperlink r:id="rId141">
              <w:r>
                <w:rPr>
                  <w:rFonts w:ascii="Times New Roman" w:cs="Times New Roman" w:eastAsia="Times New Roman" w:hAnsi="Times New Roman"/>
                  <w:sz w:val="18"/>
                  <w:szCs w:val="18"/>
                  <w:color w:val="0000FF"/>
                  <w:w w:val="83"/>
                </w:rPr>
                <w:t>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3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and incorporated herein by reference)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Stock Option Award Notice pursuant to the United Continental Holdings, Inc. 2008 Incentive Compensation</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Plan (filed as Exhibit 10.1 to UAL's Form 10-Q for the quarter ended September 30, 2016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reference)</w:t>
              </w:r>
            </w:hyperlink>
          </w:p>
        </w:tc>
        <w:tc>
          <w:tcPr>
            <w:tcW w:w="7760" w:type="dxa"/>
            <w:vAlign w:val="bottom"/>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UAL Corporation 2008 Incentive Compensation Plan (filed as Appendix A to UAL's Definitive Proxy Statement filed</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5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April 25, 2008 and incorporated herein by reference) (now named the United Continental Holdings, Inc. 2008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Incentive Compensation Plan)</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First Amendment to the UAL Corporation 2008 Incentive Compensation Plan (changing the name to United</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Continental Holdings, Inc. 2008 Incentive Compensation Plan) (filed as Annex A to UAL's Definitive Proxy</w:t>
              </w:r>
            </w:hyperlink>
          </w:p>
        </w:tc>
        <w:tc>
          <w:tcPr>
            <w:tcW w:w="20" w:type="dxa"/>
            <w:vAlign w:val="bottom"/>
            <w:tcBorders>
              <w:bottom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20" w:type="dxa"/>
            <w:vAlign w:val="bottom"/>
            <w:gridSpan w:val="13"/>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Statement filed April 26, 2013 and incorporated herein by reference)</w:t>
              </w:r>
            </w:hyperlink>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60" w:type="dxa"/>
            <w:vAlign w:val="bottom"/>
            <w:gridSpan w:val="5"/>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Amendment to the United Continental Holdings, Inc. 2008 Incentive Compensation Plan (filed as Exhibit</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19</w:t>
              </w:r>
              <w:r>
                <w:rPr>
                  <w:rFonts w:ascii="Times New Roman" w:cs="Times New Roman" w:eastAsia="Times New Roman" w:hAnsi="Times New Roman"/>
                  <w:sz w:val="18"/>
                  <w:szCs w:val="18"/>
                  <w:color w:val="0000FF"/>
                  <w:w w:val="99"/>
                </w:rPr>
                <w:t xml:space="preserve"> to UAL's Form 10-K for the year ended December 31, 2016 and incorporated herein by reference)</w:t>
              </w:r>
            </w:hyperlink>
          </w:p>
        </w:tc>
        <w:tc>
          <w:tcPr>
            <w:tcW w:w="640" w:type="dxa"/>
            <w:vAlign w:val="bottom"/>
            <w:tcBorders>
              <w:top w:val="single" w:sz="8" w:color="0000FF"/>
            </w:tcBorders>
            <w:gridSpan w:val="10"/>
          </w:tcPr>
          <w:p>
            <w:pPr>
              <w:spacing w:after="0"/>
              <w:rPr>
                <w:sz w:val="13"/>
                <w:szCs w:val="13"/>
                <w:color w:val="auto"/>
              </w:rPr>
            </w:pPr>
          </w:p>
        </w:tc>
        <w:tc>
          <w:tcPr>
            <w:tcW w:w="1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United Air Lines, Inc. Management Cash Direct &amp; Cash Match Program (amended and restated effective January 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60" w:type="dxa"/>
            <w:vAlign w:val="bottom"/>
            <w:gridSpan w:val="5"/>
            <w:shd w:val="clear" w:color="auto" w:fill="0000FF"/>
          </w:tcPr>
          <w:p>
            <w:pPr>
              <w:spacing w:after="0" w:line="20" w:lineRule="exact"/>
              <w:rPr>
                <w:sz w:val="1"/>
                <w:szCs w:val="1"/>
                <w:color w:val="auto"/>
              </w:rPr>
            </w:pPr>
          </w:p>
        </w:tc>
        <w:tc>
          <w:tcPr>
            <w:tcW w:w="418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540" w:type="dxa"/>
            <w:vAlign w:val="bottom"/>
            <w:gridSpan w:val="32"/>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2016) (filed as Exhibit 10.28 to UAL's Form 10-K for the year ended December 31, 2018 and incorporated herein by</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reference)</w:t>
              </w:r>
            </w:hyperlink>
          </w:p>
        </w:tc>
        <w:tc>
          <w:tcPr>
            <w:tcW w:w="768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United Continental Holdings, Inc. Executive Severance Plan (amended and restated effective December 6, 2023)</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1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(filed as Exhibit 10.10 to UAL's Form 10-K for the year ended December 31, 2024 and incorporated herein by</w:t>
              </w:r>
            </w:hyperlink>
          </w:p>
        </w:tc>
        <w:tc>
          <w:tcPr>
            <w:tcW w:w="3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reference)</w:t>
              </w:r>
            </w:hyperlink>
          </w:p>
        </w:tc>
        <w:tc>
          <w:tcPr>
            <w:tcW w:w="7200" w:type="dxa"/>
            <w:vAlign w:val="bottom"/>
            <w:tcBorders>
              <w:top w:val="single" w:sz="8" w:color="0000FF"/>
            </w:tcBorders>
            <w:gridSpan w:val="14"/>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United Continental Holdings, Inc. 2017 Incentive Compensation Plan (filed as Exhibit 10.1 to UAL's Form 8-K filed</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May 30, 2017 and incorporated herein by reference)</w:t>
              </w:r>
            </w:hyperlink>
          </w:p>
        </w:tc>
        <w:tc>
          <w:tcPr>
            <w:tcW w:w="46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Stock Option Award Notice pursuant to the United Continental Holdings, Inc. 2017 Incentive Compensation</w:t>
              </w:r>
            </w:hyperlink>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46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Plan (filed as Exhibit 10.7 to UAL's Form 10-Q for the quarter ended June 30, 2017 and incorporated herein by</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reference)</w:t>
              </w:r>
            </w:hyperlink>
          </w:p>
        </w:tc>
        <w:tc>
          <w:tcPr>
            <w:tcW w:w="7280" w:type="dxa"/>
            <w:vAlign w:val="bottom"/>
            <w:tcBorders>
              <w:top w:val="single" w:sz="8" w:color="0000FF"/>
            </w:tcBorders>
            <w:gridSpan w:val="15"/>
          </w:tcPr>
          <w:p>
            <w:pPr>
              <w:spacing w:after="0"/>
              <w:rPr>
                <w:sz w:val="15"/>
                <w:szCs w:val="15"/>
                <w:color w:val="auto"/>
              </w:rPr>
            </w:pPr>
          </w:p>
        </w:tc>
        <w:tc>
          <w:tcPr>
            <w:tcW w:w="5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80" w:right="6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United Airlines Holdings, Inc. 2006 Director Equity Incentive Plan (as amended and restated, effective May 24, 2023)</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(filed as Exhibit 10.2 to UAL's Form 8-K filed May 30, 2023 and incorporated herein by reference)</w:t>
              </w:r>
            </w:hyperlink>
          </w:p>
        </w:tc>
        <w:tc>
          <w:tcPr>
            <w:tcW w:w="13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Share Unit Award Notice pursuant to the United Airlines Holdings, Inc. 2006 Director Equity Incentive Plan</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 awards granted on or after May 2025) (filed as Exhibit 10.1 to UAL's Form 10-Q for the quarter ended June 30,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2025 and incorporated herein by reference)</w:t>
              </w:r>
            </w:hyperlink>
          </w:p>
        </w:tc>
        <w:tc>
          <w:tcPr>
            <w:tcW w:w="524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United Airlines Holdings, Inc. Amended and Restated 2021 Incentive Compensation Plan (filed as Exhibit 10.1 to</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UAL's Form 8-K filed May 28, 2021 and incorporated herein by reference)</w:t>
              </w:r>
            </w:hyperlink>
          </w:p>
        </w:tc>
        <w:tc>
          <w:tcPr>
            <w:tcW w:w="28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Amendment to United Airlines Holdings, Inc. Amended and Restated 2021 Incentive Compensation Plan (filed</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as Exhibit 10.1 to UAL's Form 8-K filed May 30, 2023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Amendment to the United Airlines Holdings, Inc. Amended and Restated 2021 Incentive Compensation Plan</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(filed as Exhibit 10.1 to UAL's Form 8-K filed May 29, 2024 and incorporated herein by reference)</w:t>
              </w:r>
            </w:hyperlink>
          </w:p>
        </w:tc>
        <w:tc>
          <w:tcPr>
            <w:tcW w:w="1280" w:type="dxa"/>
            <w:vAlign w:val="bottom"/>
            <w:tcBorders>
              <w:top w:val="single" w:sz="8" w:color="0000FF"/>
            </w:tcBorders>
            <w:gridSpan w:val="16"/>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Restricted Stock Unit Award Notice pursuant to the 2021 Incentive Compensation Plan (filed as Exhibit</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19</w:t>
              </w:r>
              <w:r>
                <w:rPr>
                  <w:rFonts w:ascii="Times New Roman" w:cs="Times New Roman" w:eastAsia="Times New Roman" w:hAnsi="Times New Roman"/>
                  <w:sz w:val="18"/>
                  <w:szCs w:val="18"/>
                  <w:color w:val="0000FF"/>
                  <w:w w:val="99"/>
                </w:rPr>
                <w:t xml:space="preserve"> to UAL's Form 10-K for the year ended December 31, 2024 and incorporated herein by reference)</w:t>
              </w:r>
            </w:hyperlink>
          </w:p>
        </w:tc>
        <w:tc>
          <w:tcPr>
            <w:tcW w:w="6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Performance-Based RSU Award Notice pursuant to the 2021 Incentive Compensation Plan (filed as Exhibit</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20</w:t>
              </w:r>
              <w:r>
                <w:rPr>
                  <w:rFonts w:ascii="Times New Roman" w:cs="Times New Roman" w:eastAsia="Times New Roman" w:hAnsi="Times New Roman"/>
                  <w:sz w:val="18"/>
                  <w:szCs w:val="18"/>
                  <w:color w:val="0000FF"/>
                  <w:w w:val="99"/>
                </w:rPr>
                <w:t xml:space="preserve"> to UAL's Form 10-K for the year ended December 31, 2024 and incorporated herein by reference)</w:t>
              </w:r>
            </w:hyperlink>
          </w:p>
        </w:tc>
        <w:tc>
          <w:tcPr>
            <w:tcW w:w="86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79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Form of Performance-Based RSU Award Notice pursuant to the United Airlines Holdings, Inc. 2021 Incentive</w:t>
              </w:r>
            </w:hyperlink>
          </w:p>
        </w:tc>
        <w:tc>
          <w:tcPr>
            <w:tcW w:w="600" w:type="dxa"/>
            <w:vAlign w:val="bottom"/>
            <w:gridSpan w:val="18"/>
          </w:tcPr>
          <w:p>
            <w:pPr>
              <w:spacing w:after="0"/>
              <w:rPr>
                <w:sz w:val="24"/>
                <w:szCs w:val="24"/>
                <w:color w:val="auto"/>
              </w:rPr>
            </w:pP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560" w:type="dxa"/>
            <w:vAlign w:val="bottom"/>
            <w:gridSpan w:val="28"/>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Compensation Plan (filed as Exhibit 10.2 to UAL's Form 10-Q for the quarter ended March 31, 2022 and incorporated</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herein by reference)</w:t>
              </w:r>
            </w:hyperlink>
          </w:p>
        </w:tc>
        <w:tc>
          <w:tcPr>
            <w:tcW w:w="7060" w:type="dxa"/>
            <w:vAlign w:val="bottom"/>
            <w:tcBorders>
              <w:top w:val="single" w:sz="8" w:color="0000FF"/>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Amended and Restated A350-900 Purchase Agreement, dated as of September 1, 2017, including letter agreements</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related thereto, between Airbus S.A.S. and United Airlines, Inc. (filed as Exhibit 10.1 to UAL's Form 10-Q for the</w:t>
              </w:r>
            </w:hyperlink>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quarter ended September 30, 2023 and incorporated herein by reference)</w:t>
              </w:r>
            </w:hyperlink>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1, dated as of July 18, 2019, to the Amended and Restated A350-900 Purchase Agreement, dated as</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of September 1, 2017, including letter agreements related thereto, between Airbus S.A.S. and United Airlines, Inc.</w:t>
              </w:r>
            </w:hyperlink>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(filed as Exhibit 10.1 to UAL's Form 10-Q for the quarter ended September 30, 2019 and incorporated herein by</w:t>
              </w:r>
            </w:hyperlink>
          </w:p>
        </w:tc>
        <w:tc>
          <w:tcPr>
            <w:tcW w:w="22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reference)</w:t>
              </w:r>
            </w:hyperlink>
          </w:p>
        </w:tc>
        <w:tc>
          <w:tcPr>
            <w:tcW w:w="7340" w:type="dxa"/>
            <w:vAlign w:val="bottom"/>
            <w:tcBorders>
              <w:top w:val="single" w:sz="8" w:color="0000FF"/>
            </w:tcBorders>
            <w:gridSpan w:val="10"/>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6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No. 2, dated as of December 3, 2019, to the Amended and Restated A350-900 Purchase Agreement,</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dated as of September 1, 2017, including letter agreements related thereto, between Airbus S.A.S. and United</w:t>
              </w:r>
            </w:hyperlink>
          </w:p>
        </w:tc>
        <w:tc>
          <w:tcPr>
            <w:tcW w:w="100" w:type="dxa"/>
            <w:vAlign w:val="bottom"/>
            <w:gridSpan w:val="2"/>
          </w:tcPr>
          <w:p>
            <w:pPr>
              <w:spacing w:after="0"/>
              <w:rPr>
                <w:sz w:val="13"/>
                <w:szCs w:val="13"/>
                <w:color w:val="auto"/>
              </w:rPr>
            </w:pPr>
          </w:p>
        </w:tc>
        <w:tc>
          <w:tcPr>
            <w:tcW w:w="26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560" w:type="dxa"/>
            <w:vAlign w:val="bottom"/>
            <w:gridSpan w:val="28"/>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Airlines, Inc. (filed as Exhibit 10.42 to UAL's Form 10-K for the year ended December 31, 2019 and incorporated</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herein by reference)</w:t>
              </w:r>
            </w:hyperlink>
          </w:p>
        </w:tc>
        <w:tc>
          <w:tcPr>
            <w:tcW w:w="6780" w:type="dxa"/>
            <w:vAlign w:val="bottom"/>
            <w:tcBorders>
              <w:top w:val="single" w:sz="8" w:color="0000FF"/>
            </w:tcBorders>
            <w:gridSpan w:val="13"/>
          </w:tcPr>
          <w:p>
            <w:pPr>
              <w:spacing w:after="0"/>
              <w:rPr>
                <w:sz w:val="13"/>
                <w:szCs w:val="13"/>
                <w:color w:val="auto"/>
              </w:rPr>
            </w:pPr>
          </w:p>
        </w:tc>
        <w:tc>
          <w:tcPr>
            <w:tcW w:w="26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No. 3, dated as of December 8, 2022, to the Amended and Restated A350-900 Purchase Agreement,</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dated as of September 1, 2017, including letter agreements related thereto, between Airbus S.A.S. and United</w:t>
              </w:r>
            </w:hyperlink>
          </w:p>
        </w:tc>
        <w:tc>
          <w:tcPr>
            <w:tcW w:w="36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62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560" w:type="dxa"/>
            <w:vAlign w:val="bottom"/>
            <w:gridSpan w:val="28"/>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Airlines, Inc. (filed as Exhibit 10.35 to UAL's Form 10-K for the year ended December 31, 2022 and incorporated</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herein by reference)</w:t>
              </w:r>
            </w:hyperlink>
          </w:p>
        </w:tc>
        <w:tc>
          <w:tcPr>
            <w:tcW w:w="6780" w:type="dxa"/>
            <w:vAlign w:val="bottom"/>
            <w:tcBorders>
              <w:top w:val="single" w:sz="8" w:color="0000FF"/>
            </w:tcBorders>
            <w:gridSpan w:val="13"/>
          </w:tcPr>
          <w:p>
            <w:pPr>
              <w:spacing w:after="0"/>
              <w:rPr>
                <w:sz w:val="13"/>
                <w:szCs w:val="13"/>
                <w:color w:val="auto"/>
              </w:rPr>
            </w:pPr>
          </w:p>
        </w:tc>
        <w:tc>
          <w:tcPr>
            <w:tcW w:w="26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Amendment No. 4, effective as of September 29, 2023, to the Amended and Restated A350-900 Purchase Agreement,</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dated as of September 1, 2017, including letter agreements related thereto, between Airbus S.A.S. and United</w:t>
              </w:r>
            </w:hyperlink>
          </w:p>
        </w:tc>
        <w:tc>
          <w:tcPr>
            <w:tcW w:w="60" w:type="dxa"/>
            <w:vAlign w:val="bottom"/>
            <w:gridSpan w:val="3"/>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2400" w:right="20"/>
        <w:spacing w:after="0" w:line="226"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Airlines, Inc., (filed as Exhibit 10.36 to UAL's Form 10-Q for the quarter ended September 30, 2023 and incorporated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0" w:right="6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^10.25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Amendment No. 5, dated as of December 26, 2024, to the Amended and Restated A350-900 Purchase Agreement,</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dated as of September 1, 2017, including letter agreements related thereto, between Airbus S.A.S. and United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560" w:type="dxa"/>
            <w:vAlign w:val="bottom"/>
            <w:gridSpan w:val="29"/>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Airlines, Inc. (filed as Exhibit 10.30 to UAL's Form 10-K for the year ended December 31, 2024 and incorporated</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herein by reference)</w:t>
              </w:r>
            </w:hyperlink>
          </w:p>
        </w:tc>
        <w:tc>
          <w:tcPr>
            <w:tcW w:w="676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^10.26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No. 6, dated as of March 31, 2025, to the Amended and Restated A350-900 Purchase Agreement, dated</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as of September 1, 2017, including letter agreements related thereto, between Airbus S.A.S and United Airlines,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(filed as Exhibit 10.2 to UAL's Form 10-Q for the quarter ended March 31, 2025 and incorporated herein by</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reference)</w:t>
              </w:r>
            </w:hyperlink>
          </w:p>
        </w:tc>
        <w:tc>
          <w:tcPr>
            <w:tcW w:w="7040" w:type="dxa"/>
            <w:vAlign w:val="bottom"/>
            <w:tcBorders>
              <w:top w:val="single" w:sz="8" w:color="0000FF"/>
            </w:tcBorders>
            <w:gridSpan w:val="7"/>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^10.27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No. 7, dated as of June 30, 2025, to the Amended and Restated A350-900 Purchase Agreement, dated as</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of September 1, 2017, including letter agreements related thereto, between Airbus S.A.S. and United Airlines, Inc.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7"/>
              </w:rPr>
            </w:pPr>
            <w:hyperlink r:id="rId167">
              <w:r>
                <w:rPr>
                  <w:rFonts w:ascii="Times New Roman" w:cs="Times New Roman" w:eastAsia="Times New Roman" w:hAnsi="Times New Roman"/>
                  <w:sz w:val="18"/>
                  <w:szCs w:val="18"/>
                  <w:color w:val="0000FF"/>
                  <w:w w:val="97"/>
                </w:rPr>
                <w:t>(filed as Exhibit 10.2 to UAL's Form 10-Q for the quarter ended June 30, 2025 and incorporated herein by reference)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^10.28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Amendment No. 8, dated as of September 24, 2025, to the Amended and Restated A350-900 Purchase Agreement,</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9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dated as of September 1, 2017, including a letter agreement related thereto, between Airbus S.A.S. and United</w:t>
              </w:r>
            </w:hyperlink>
          </w:p>
        </w:tc>
        <w:tc>
          <w:tcPr>
            <w:tcW w:w="3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560" w:type="dxa"/>
            <w:vAlign w:val="bottom"/>
            <w:gridSpan w:val="29"/>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Airlines, Inc. (filed as Exhibit 10.1 to UAL's Form 10-Q for the quarter ended September 30, 2025 and incorporated</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herein by reference)</w:t>
              </w:r>
            </w:hyperlink>
          </w:p>
        </w:tc>
        <w:tc>
          <w:tcPr>
            <w:tcW w:w="692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^10.29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Amendment No. 9, dated as of December 23, 2025, to the Amended and Restated A350-900 Purchase Agreement,</w:t>
            </w: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dated as of September 1, 2017, including a letter agreement related thereto, between Airbus S.A.S. and United</w:t>
            </w: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Airlines, Inc.</w:t>
            </w:r>
          </w:p>
        </w:tc>
        <w:tc>
          <w:tcPr>
            <w:tcW w:w="220" w:type="dxa"/>
            <w:vAlign w:val="bottom"/>
            <w:gridSpan w:val="2"/>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Aircraft General Terms Agreement, dated as of October 10, 1997, by and among Continental Airlines, Inc. and The</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Boeing Company (filed as Exhibit 10.2 to UAL's Form 10-Q for the quarter ended September 30, 2023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72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herein by reference)</w:t>
              </w:r>
            </w:hyperlink>
          </w:p>
        </w:tc>
        <w:tc>
          <w:tcPr>
            <w:tcW w:w="440" w:type="dxa"/>
            <w:vAlign w:val="bottom"/>
            <w:gridSpan w:val="5"/>
          </w:tcPr>
          <w:p>
            <w:pPr>
              <w:spacing w:after="0"/>
              <w:rPr>
                <w:sz w:val="14"/>
                <w:szCs w:val="14"/>
                <w:color w:val="auto"/>
              </w:rPr>
            </w:pPr>
          </w:p>
        </w:tc>
        <w:tc>
          <w:tcPr>
            <w:tcW w:w="14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Purchase Agreement No. PA-03776, dated as of July 12, 2012, between The Boeing Company and United Continental</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Holdings, Inc. (filed as Exhibit 10.3 to UAL's Form 10-Q for the quarter ended September 30, 2023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herein by reference)</w:t>
              </w:r>
            </w:hyperlink>
          </w:p>
        </w:tc>
        <w:tc>
          <w:tcPr>
            <w:tcW w:w="7000" w:type="dxa"/>
            <w:vAlign w:val="bottom"/>
            <w:tcBorders>
              <w:top w:val="single" w:sz="8" w:color="0000FF"/>
            </w:tcBorders>
            <w:gridSpan w:val="2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Supplemental Agreement No. 1 to Purchase Agreement No. 03776, dated as of June 17, 2013, between The Boeing</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Company and United Continental Holdings, Inc. (filed as Exhibit 10.4 to UAL's Form 10-Q for the quarter ended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September 30, 2023 and incorporated herein by reference)</w:t>
              </w:r>
            </w:hyperlink>
          </w:p>
        </w:tc>
        <w:tc>
          <w:tcPr>
            <w:tcW w:w="3960" w:type="dxa"/>
            <w:vAlign w:val="bottom"/>
            <w:tcBorders>
              <w:top w:val="single" w:sz="8" w:color="0000FF"/>
            </w:tcBorders>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Purchase Agreement Assignment to Purchase Agreement No. 03776, dated as of October 23, 2013, between United</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Continental Holdings, Inc. and United Airlines, Inc. (filed as Exhibit 10.5 to UAL's Form 10-Q for the quarter ended</w:t>
              </w:r>
            </w:hyperlink>
          </w:p>
        </w:tc>
        <w:tc>
          <w:tcPr>
            <w:tcW w:w="80" w:type="dxa"/>
            <w:vAlign w:val="bottom"/>
            <w:tcBorders>
              <w:bottom w:val="single" w:sz="8" w:color="0000FF"/>
            </w:tcBorders>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September 30, 2023 and incorporated herein by reference)</w:t>
              </w:r>
            </w:hyperlink>
          </w:p>
        </w:tc>
        <w:tc>
          <w:tcPr>
            <w:tcW w:w="4240" w:type="dxa"/>
            <w:vAlign w:val="bottom"/>
            <w:gridSpan w:val="18"/>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Supplemental Agreement No. 2 to Purchase Agreement No. 03776, dated as of January 14, 2015, between The Boeing</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Company and United Airlines, Inc. (filed as Exhibit 10.6 to UAL's Form 10-Q for the quarter ended September 30,</w:t>
              </w:r>
            </w:hyperlink>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2023 and incorporated herein by reference)</w:t>
              </w:r>
            </w:hyperlink>
          </w:p>
        </w:tc>
        <w:tc>
          <w:tcPr>
            <w:tcW w:w="5180" w:type="dxa"/>
            <w:vAlign w:val="bottom"/>
            <w:tcBorders>
              <w:top w:val="single" w:sz="8" w:color="0000FF"/>
            </w:tcBorders>
            <w:gridSpan w:val="12"/>
          </w:tcPr>
          <w:p>
            <w:pPr>
              <w:spacing w:after="0"/>
              <w:rPr>
                <w:sz w:val="14"/>
                <w:szCs w:val="14"/>
                <w:color w:val="auto"/>
              </w:rPr>
            </w:pPr>
          </w:p>
        </w:tc>
        <w:tc>
          <w:tcPr>
            <w:tcW w:w="260" w:type="dxa"/>
            <w:vAlign w:val="bottom"/>
            <w:gridSpan w:val="12"/>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Supplemental Agreement No. 3 to Purchase Agreement No. 03776, dated as of May 26, 2015, between The Boeing</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Company and United Airlines, Inc. (filed as Exhibit 10.7 to UAL's Form 10-Q for the quarter ended September 30,</w:t>
              </w:r>
            </w:hyperlink>
          </w:p>
        </w:tc>
        <w:tc>
          <w:tcPr>
            <w:tcW w:w="220" w:type="dxa"/>
            <w:vAlign w:val="bottom"/>
            <w:gridSpan w:val="10"/>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2023 and incorporated herein by reference)</w:t>
              </w:r>
            </w:hyperlink>
          </w:p>
        </w:tc>
        <w:tc>
          <w:tcPr>
            <w:tcW w:w="5180" w:type="dxa"/>
            <w:vAlign w:val="bottom"/>
            <w:tcBorders>
              <w:top w:val="single" w:sz="8" w:color="0000FF"/>
            </w:tcBorders>
            <w:gridSpan w:val="12"/>
          </w:tcPr>
          <w:p>
            <w:pPr>
              <w:spacing w:after="0"/>
              <w:rPr>
                <w:sz w:val="14"/>
                <w:szCs w:val="14"/>
                <w:color w:val="auto"/>
              </w:rPr>
            </w:pPr>
          </w:p>
        </w:tc>
        <w:tc>
          <w:tcPr>
            <w:tcW w:w="260" w:type="dxa"/>
            <w:vAlign w:val="bottom"/>
            <w:gridSpan w:val="12"/>
          </w:tcPr>
          <w:p>
            <w:pPr>
              <w:spacing w:after="0"/>
              <w:rPr>
                <w:sz w:val="14"/>
                <w:szCs w:val="14"/>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Supplemental Agreement No. 4 to Purchase Agreement No. 03776, dated as of June 12, 2015, between The Boeing</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Company and United Airlines, Inc. (filed as Exhibit 10.8 to UAL's Form 10-Q for the quarter ended September 30,</w:t>
              </w:r>
            </w:hyperlink>
          </w:p>
        </w:tc>
        <w:tc>
          <w:tcPr>
            <w:tcW w:w="220" w:type="dxa"/>
            <w:vAlign w:val="bottom"/>
            <w:gridSpan w:val="10"/>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2023 and incorporated herein by reference)</w:t>
              </w:r>
            </w:hyperlink>
          </w:p>
        </w:tc>
        <w:tc>
          <w:tcPr>
            <w:tcW w:w="5180" w:type="dxa"/>
            <w:vAlign w:val="bottom"/>
            <w:tcBorders>
              <w:top w:val="single" w:sz="8" w:color="0000FF"/>
            </w:tcBorders>
            <w:gridSpan w:val="12"/>
          </w:tcPr>
          <w:p>
            <w:pPr>
              <w:spacing w:after="0"/>
              <w:rPr>
                <w:sz w:val="14"/>
                <w:szCs w:val="14"/>
                <w:color w:val="auto"/>
              </w:rPr>
            </w:pPr>
          </w:p>
        </w:tc>
        <w:tc>
          <w:tcPr>
            <w:tcW w:w="260" w:type="dxa"/>
            <w:vAlign w:val="bottom"/>
            <w:gridSpan w:val="12"/>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Supplemental Agreement No. 5 to Purchase Agreement No. 03776, dated as of January 20, 2016, between The Boeing</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Company and United Airlines, Inc. (filed as Exhibit 10.9 to UAL's Form 10-Q for the quarter ended September 30,</w:t>
              </w:r>
            </w:hyperlink>
          </w:p>
        </w:tc>
        <w:tc>
          <w:tcPr>
            <w:tcW w:w="2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bl>
    <w:p>
      <w:pPr>
        <w:ind w:left="2400"/>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2023 and incorporated herein by reference)</w:t>
        </w:r>
      </w:hyperlink>
    </w:p>
    <w:p>
      <w:pPr>
        <w:sectPr>
          <w:pgSz w:w="11900" w:h="16838" w:orient="portrait"/>
          <w:cols w:equalWidth="0" w:num="1">
            <w:col w:w="10940"/>
          </w:cols>
          <w:pgMar w:left="320" w:top="18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80" w:right="6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Supplemental Agreement No. 6 to Purchase Agreement No. 03776, dated as of February 8, 2016,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Company and United Airlines, Inc. (filed as Exhibit 10.10 to UAL's Form 10-Q for the quarter ended September 30,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Supplemental Agreement No. 7 to Purchase Agreement No. 03776, dated as of December 27, 2016,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Boeing Company and United Airlines, Inc. (filed as Exhibit 10.11 to UAL's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2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Supplemental Agreement No. 8 to Purchase Agreement No. 03776, dated as of June 7, 2017, between The Boeing</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60" w:type="dxa"/>
            <w:vAlign w:val="bottom"/>
            <w:gridSpan w:val="22"/>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Company and United Airlines, Inc. (filed as Exhibit 10.12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Supplemental Agreement No. 9 to Purchase Agreement No. 03776, dated as of June 15, 2017, between The Boeing</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27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60" w:type="dxa"/>
            <w:vAlign w:val="bottom"/>
            <w:gridSpan w:val="22"/>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Company and United Airlines, Inc. (filed as Exhibit 10.13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Supplemental Agreement No. 10 to Purchase Agreement No. 03776, dated as of May 15, 2018, between The Boeing</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Company and United Airlines, Inc. (filed as Exhibit 10.14 to UAL's Form 10-Q for the quarter ended September 30,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Supplemental Agreement No. 11 to Purchase Agreement No. 03776, dated as of September 25, 2018, between 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Boeing Company and United Airlines, Inc. (filed as Exhibit 10.15 to UAL's Form 10-Q for the quarter ended</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September 30, 2023 and incorporated herein by reference)</w:t>
              </w:r>
            </w:hyperlink>
          </w:p>
        </w:tc>
        <w:tc>
          <w:tcPr>
            <w:tcW w:w="3660" w:type="dxa"/>
            <w:vAlign w:val="bottom"/>
            <w:tcBorders>
              <w:top w:val="single" w:sz="8" w:color="0000FF"/>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Supplemental Agreement No. 12 to Purchase Agreement No. 03776, dated as of December 12, 2018, between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27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60" w:type="dxa"/>
            <w:vAlign w:val="bottom"/>
            <w:gridSpan w:val="22"/>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Boeing Company and United Airlines, Inc. (filed as Exhibit 10.16 to UAL's Form 10-Q for the year ended September</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30, 2023 and incorporated herein by reference)</w:t>
              </w:r>
            </w:hyperlink>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Supplemental Agreement No. 13 to Purchase Agreement No. 03776, dated as of March 20, 2020,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Company and United Airlines, Inc. (filed as Exhibit 10.7 to UAL's Form 10-Q for the quarter ended March 31,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3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and incorporated herein by reference)</w:t>
              </w:r>
            </w:hyperlink>
          </w:p>
        </w:tc>
        <w:tc>
          <w:tcPr>
            <w:tcW w:w="6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Supplemental Agreement No. 14 to Purchase Agreement No. 03776, dated as of June 30, 2020, between The Boeing</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Company and United Airlines, Inc. (filed as Exhibit 10.5 to UAL's Form 10-Q for the quarter ended June 30, 2020</w:t>
              </w:r>
            </w:hyperlink>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Supplemental Agreement No. 15 to Purchase Agreement No. 03776, dated as of February 26, 2021,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Boeing Company and United Airlines, Inc. (filed as Exhibit 10.17 to UAL's Form 10-Q for the quarter ended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September 30, 2023 and incorporated herein by reference)</w:t>
              </w:r>
            </w:hyperlink>
          </w:p>
        </w:tc>
        <w:tc>
          <w:tcPr>
            <w:tcW w:w="3660" w:type="dxa"/>
            <w:vAlign w:val="bottom"/>
            <w:tcBorders>
              <w:top w:val="single" w:sz="8" w:color="0000FF"/>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5"/>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Supplemental Agreement No. 16 to Purchase Agreement No. 03776, dated as of June 27, 2021, between The Boeing</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Company and United Airlines, Inc. (filed as Exhibit 10.1 to UAL's Form 10-Q for the quarter ended June 30, 2021</w:t>
              </w:r>
            </w:hyperlink>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Supplemental Agreement No. 17 to Purchase Agreement No. 03776, dated as of August 12, 2021,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Boeing Company and United Airlines, Inc. (filed as Exhibit 10.1 to UAL's Form 10-Q for the quarter ended</w:t>
              </w:r>
            </w:hyperlink>
          </w:p>
        </w:tc>
        <w:tc>
          <w:tcPr>
            <w:tcW w:w="1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September 30, 2021 and incorporated herein by reference)</w:t>
              </w:r>
            </w:hyperlink>
          </w:p>
        </w:tc>
        <w:tc>
          <w:tcPr>
            <w:tcW w:w="3560" w:type="dxa"/>
            <w:vAlign w:val="bottom"/>
            <w:tcBorders>
              <w:top w:val="single" w:sz="8" w:color="0000FF"/>
            </w:tcBorders>
          </w:tcPr>
          <w:p>
            <w:pPr>
              <w:spacing w:after="0"/>
              <w:rPr>
                <w:sz w:val="14"/>
                <w:szCs w:val="14"/>
                <w:color w:val="auto"/>
              </w:rPr>
            </w:pPr>
          </w:p>
        </w:tc>
        <w:tc>
          <w:tcPr>
            <w:tcW w:w="44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5"/>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Supplemental Agreement No. 18 to Purchase Agreement No. 03776, dated as of September 8, 2021, between 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Boeing Company and United Airlines, Inc. (filed as Exhibit 10.2 to UAL's Form 10-Q for the quarter ended</w:t>
              </w:r>
            </w:hyperlink>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September 30, 2021 and incorporated herein by reference)</w:t>
              </w:r>
            </w:hyperlink>
          </w:p>
        </w:tc>
        <w:tc>
          <w:tcPr>
            <w:tcW w:w="3560" w:type="dxa"/>
            <w:vAlign w:val="bottom"/>
            <w:tcBorders>
              <w:top w:val="single" w:sz="8" w:color="0000FF"/>
            </w:tcBorders>
          </w:tcPr>
          <w:p>
            <w:pPr>
              <w:spacing w:after="0"/>
              <w:rPr>
                <w:sz w:val="14"/>
                <w:szCs w:val="14"/>
                <w:color w:val="auto"/>
              </w:rPr>
            </w:pPr>
          </w:p>
        </w:tc>
        <w:tc>
          <w:tcPr>
            <w:tcW w:w="500" w:type="dxa"/>
            <w:vAlign w:val="bottom"/>
            <w:gridSpan w:val="9"/>
          </w:tcPr>
          <w:p>
            <w:pPr>
              <w:spacing w:after="0"/>
              <w:rPr>
                <w:sz w:val="14"/>
                <w:szCs w:val="14"/>
                <w:color w:val="auto"/>
              </w:rPr>
            </w:pPr>
          </w:p>
        </w:tc>
        <w:tc>
          <w:tcPr>
            <w:tcW w:w="180" w:type="dxa"/>
            <w:vAlign w:val="bottom"/>
            <w:gridSpan w:val="5"/>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Supplemental Agreement No. 19 to Purchase Agreement No. 03776, dated as of November 30, 2021,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Boeing Company and United Airlines, Inc. (filed as Exhibit 10.53 to UAL's Form 10-K for the year ended December</w:t>
              </w:r>
            </w:hyperlink>
          </w:p>
        </w:tc>
        <w:tc>
          <w:tcPr>
            <w:tcW w:w="180" w:type="dxa"/>
            <w:vAlign w:val="bottom"/>
            <w:tcBorders>
              <w:bottom w:val="single" w:sz="8" w:color="0000FF"/>
            </w:tcBorders>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31, 2021 and incorporated herein by reference)</w:t>
        </w:r>
      </w:hyperlink>
    </w:p>
    <w:p>
      <w:pPr>
        <w:sectPr>
          <w:pgSz w:w="11900" w:h="16838" w:orient="portrait"/>
          <w:cols w:equalWidth="0" w:num="1">
            <w:col w:w="10940"/>
          </w:cols>
          <w:pgMar w:left="320" w:top="18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80" w:right="6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Supplemental Agreement No. 20 to Purchase Agreement No. 03776, dated as of June 30, 2022, between The Boeing</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Company and United Airlines, Inc. (filed as Exhibit 10.1 to UAL's Form 10-Q for the quarter ended June 30, 2022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2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Supplemental Agreement No. 21 to Purchase Agreement No. 03776, dated as of December 15, 2023, between The</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9"/>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Boeing Company and United Airlines, Inc. (filed as Exhibit 10.55 to UAL's Form 10-K for the year ended December</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31, 2023 and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Letter Agreement No. 6-1162-KKT-080R2, dated as of December 12, 2022, among The Boeing Company, United</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Airlines Holdings, Inc. and United Airlines, Inc. (filed as Exhibit 10.59 to UAL's Form 10-K for the year ended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4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December 31, 2022 and incorporated herein by reference)</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Purchase Agreement No. 3860, dated as of September 27, 2012, between The Boeing Company and United Air Lines,</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Inc. (filed as Exhibit 10.18 to UAL's Form 10-Q for the quarter ended September 30, 2023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reference)</w:t>
              </w:r>
            </w:hyperlink>
          </w:p>
        </w:tc>
        <w:tc>
          <w:tcPr>
            <w:tcW w:w="7760" w:type="dxa"/>
            <w:vAlign w:val="bottom"/>
            <w:tcBorders>
              <w:top w:val="single" w:sz="8" w:color="0000FF"/>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Supplemental Agreement No. 1 to Purchase Agreement No. 3860, dated June 17, 2013, between The Boeing</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24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80" w:type="dxa"/>
            <w:vAlign w:val="bottom"/>
            <w:gridSpan w:val="29"/>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Company and United Airlines, Inc. (filed as Exhibit 10.19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7"/>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2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Supplemental Agreement No. 2 to Purchase Agreement No. 3860, dated December 16, 2013, between The Boeing</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9"/>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Company and United Airlines, Inc. (filed as Exhibit 10.20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7"/>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Supplemental Agreement No. 3 to Purchase Agreement No. 3860, dated as of July 22, 2014,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Company and United Airlines, Inc. (filed as Exhibit 10.21 to UAL's Form 10-Q for the quarter ended September</w:t>
              </w:r>
            </w:hyperlink>
          </w:p>
        </w:tc>
        <w:tc>
          <w:tcPr>
            <w:tcW w:w="260" w:type="dxa"/>
            <w:vAlign w:val="bottom"/>
            <w:gridSpan w:val="9"/>
          </w:tcPr>
          <w:p>
            <w:pPr>
              <w:jc w:val="right"/>
              <w:ind w:right="100"/>
              <w:spacing w:after="0" w:line="156" w:lineRule="exact"/>
              <w:rPr>
                <w:rFonts w:ascii="Times New Roman" w:cs="Times New Roman" w:eastAsia="Times New Roman" w:hAnsi="Times New Roman"/>
                <w:sz w:val="15"/>
                <w:szCs w:val="15"/>
                <w:color w:val="0000FF"/>
                <w:w w:val="74"/>
              </w:rPr>
            </w:pPr>
            <w:hyperlink r:id="rId199">
              <w:r>
                <w:rPr>
                  <w:rFonts w:ascii="Times New Roman" w:cs="Times New Roman" w:eastAsia="Times New Roman" w:hAnsi="Times New Roman"/>
                  <w:sz w:val="15"/>
                  <w:szCs w:val="15"/>
                  <w:color w:val="0000FF"/>
                  <w:w w:val="74"/>
                </w:rPr>
                <w:t>30,</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7"/>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Supplemental Agreement No. 4 to Purchase Agreement No. 3860, dated as of January 14, 2015,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Company and United Airlines, Inc. (filed as Exhibit 10.22 to UAL's Form 10-Q for the quarter ended September 30,</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7"/>
          </w:tcPr>
          <w:p>
            <w:pPr>
              <w:spacing w:after="0"/>
              <w:rPr>
                <w:sz w:val="14"/>
                <w:szCs w:val="14"/>
                <w:color w:val="auto"/>
              </w:rPr>
            </w:pPr>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3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Supplemental Agreement No. 5 to Purchase Agreement No. 3860, dated as of April 30, 2015, between The Boeing</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9"/>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Company and United Airlines, Inc. (filed as Exhibit 10.23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7"/>
          </w:tcPr>
          <w:p>
            <w:pPr>
              <w:spacing w:after="0"/>
              <w:rPr>
                <w:sz w:val="14"/>
                <w:szCs w:val="14"/>
                <w:color w:val="auto"/>
              </w:rPr>
            </w:pPr>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Supplemental Agreement No. 6 to Purchase Agreement No. 3860, dated as of December 31, 2015,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Boeing Company and United Airlines, Inc. (filed as Exhibit 10.24 to UAL's Form 10-Q for the quarter ended</w:t>
              </w:r>
            </w:hyperlink>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2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Supplemental Agreement No. 7 to Purchase Agreement No. 3860, dated as of March 7, 2016, between The Boeing</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9"/>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Company and United Airlines, Inc. (filed as Exhibit 10.25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7"/>
          </w:tcPr>
          <w:p>
            <w:pPr>
              <w:spacing w:after="0"/>
              <w:rPr>
                <w:sz w:val="14"/>
                <w:szCs w:val="14"/>
                <w:color w:val="auto"/>
              </w:rPr>
            </w:pPr>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Letter Agreement to Purchase Agreement No. 3860, dated as of May 5, 2016, between The Boeing Company and</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United Airlines, Inc. (filed as Exhibit 10.26 to UAL's Form 10-Q for the quarter ended September 30, 2023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incorporated herein by reference)</w:t>
              </w:r>
            </w:hyperlink>
          </w:p>
        </w:tc>
        <w:tc>
          <w:tcPr>
            <w:tcW w:w="2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Supplemental Agreement No. 8, including exhibits and side letters, to Purchase Agreement No. 3860, dated as of June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15, 2017, between The Boeing Company and United Airlines, Inc. (filed as Exhibit 10.27 to UAL's Form 10-Q for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5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quarter ended September 30, 2023 and incorporated herein by reference)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20" w:type="dxa"/>
            <w:vAlign w:val="bottom"/>
            <w:gridSpan w:val="8"/>
            <w:shd w:val="clear" w:color="auto" w:fill="0000FF"/>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9"/>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Letter Agreement No. UAL-LA-1604287 to Purchase Agreement Nos. 3776, 3784 and 3860, dated December 27,</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2016, between The Boeing Company and United Airlines, Inc. (filed as Exhibit 10.28 to UAL's Form 10-Q for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quarter ended September 30, 2023 and incorporated herein by reference)</w:t>
        </w:r>
      </w:hyperlink>
    </w:p>
    <w:p>
      <w:pPr>
        <w:sectPr>
          <w:pgSz w:w="11900" w:h="16838" w:orient="portrait"/>
          <w:cols w:equalWidth="0" w:num="1">
            <w:col w:w="10920"/>
          </w:cols>
          <w:pgMar w:left="320" w:top="18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0" w:right="65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2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Supplemental Agreement No. 9 to Purchase Agreement No. 3860, dated as of May 31, 2018, between The Boeing</w:t>
              </w:r>
            </w:hyperlink>
          </w:p>
        </w:tc>
        <w:tc>
          <w:tcPr>
            <w:tcW w:w="340" w:type="dxa"/>
            <w:vAlign w:val="bottom"/>
            <w:gridSpan w:val="13"/>
          </w:tcPr>
          <w:p>
            <w:pPr>
              <w:spacing w:after="0"/>
              <w:rPr>
                <w:sz w:val="17"/>
                <w:szCs w:val="17"/>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60" w:type="dxa"/>
            <w:vAlign w:val="bottom"/>
            <w:gridSpan w:val="30"/>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Company and United Airlines, Inc. (filed as Exhibit 10.29 to UAL's Form 10-Q for the quarter ended September 30,</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Supplemental Agreement No. 10 to Purchase Agreement No. 3860, dated as of November 1, 2018, between The</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Boeing Company and United Airlines, Inc. (filed as Exhibit 10.30 to UAL's Form 10-Q for the quarter ended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Supplemental Agreement No. 11 to Purchase Agreement No. 3860, dated as of December 12, 2018, between The</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Boeing Company and United Airlines, Inc. (filed as Exhibit 10.31 to UAL's Form 10-Q for the quarter ended</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Supplemental Agreement No. 12 to Purchase Agreement No. 3860, dated as of February 26, 2021, between The</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Boeing Company and United Airlines, Inc. (filed as Exhibit 10.32 to UAL's Form 10-Q for the quarter ended</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3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A320 Family Purchase Agreement, dated as of December 3, 2019, between Airbus S.A.S. and United Airlines, Inc.</w:t>
              </w:r>
            </w:hyperlink>
          </w:p>
        </w:tc>
        <w:tc>
          <w:tcPr>
            <w:tcW w:w="220" w:type="dxa"/>
            <w:vAlign w:val="bottom"/>
            <w:gridSpan w:val="8"/>
          </w:tcPr>
          <w:p>
            <w:pPr>
              <w:spacing w:after="0"/>
              <w:rPr>
                <w:sz w:val="24"/>
                <w:szCs w:val="24"/>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60" w:type="dxa"/>
            <w:vAlign w:val="bottom"/>
            <w:gridSpan w:val="30"/>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including letter agreements related thereto, and subsequent letter agreements related thereto dated February 20, 2020</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(filed as Exhibit 10.2 to UAL's Form 10-Q for the quarter ended June 30, 2021 and incorporated herein by reference)</w:t>
              </w:r>
            </w:hyperlink>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Amendment No. 1 to the A320 Family Purchase Agreement, dated as of December 3, 2020, between Airbus S.A.S.</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and United Airlines, Inc. (filed as Exhibit 10.3 to UAL's Form 10-Q for the quarter ended June 30, 2021 and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2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herein by reference)</w:t>
              </w:r>
            </w:hyperlink>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Amendment No. 2 to the A320 Family Purchase Agreement, dated as of June 27, 2021, between Airbus S.A.S. and</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United Airlines, Inc. (filed as Exhibit 10.4 to UAL's Form 10-Q for the quarter ended June 30, 2021 and incorporated</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herein by reference)</w:t>
              </w:r>
            </w:hyperlink>
          </w:p>
        </w:tc>
        <w:tc>
          <w:tcPr>
            <w:tcW w:w="7000" w:type="dxa"/>
            <w:vAlign w:val="bottom"/>
            <w:gridSpan w:val="2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Amendment No. 3 to the A320 Family Purchase Agreement, dated as of October 29, 2021, between Airbus S.A.S. and</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United Airlines, Inc. (filed as Exhibit 10.73 to UAL's Form 10-K for the year ended December 31, 2021 and</w:t>
              </w:r>
            </w:hyperlink>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incorporated herein by reference)</w:t>
              </w:r>
            </w:hyperlink>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Amendment No. 4 to the A320 Family Purchase Agreement, dated as of July 1, 2022, between Airbus S.A.S. and</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United Airlines, Inc. (filed as Exhibit 10.76 to UAL's Form 10-K for the year ended December 31, 2023 and</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incorporated herein by reference)</w:t>
              </w:r>
            </w:hyperlink>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Amendment No. 5 to the A320 Family Purchase Agreement, effective as of September 30, 2023, between Airbus</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S.A.S. and United Airlines, Inc. (filed as Exhibit 10.37 to UAL's Form 10-Q for the quarter ended September 30,</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2023 and incorporated herein by reference)</w:t>
              </w:r>
            </w:hyperlink>
          </w:p>
        </w:tc>
        <w:tc>
          <w:tcPr>
            <w:tcW w:w="5020" w:type="dxa"/>
            <w:vAlign w:val="bottom"/>
            <w:tcBorders>
              <w:top w:val="single" w:sz="8" w:color="0000FF"/>
            </w:tcBorders>
            <w:gridSpan w:val="9"/>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Amendment No. 6 to the A320 Family Purchase Agreement, dated as of July 16, 2024, between Airbus S.A.S. and</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United Airlines, Inc. (filed as Exhibit 10.1 to UAL's Form 10-Q for the quarter ended September 30, 2024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4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32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Amendment No. 7 to the A320 Family Purchase Agreement, effective as of March 6, 2025, between Airbus S.A.S.</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and United Airlines, Inc. (filed as Exhibit 10.1 to UAL's Form 10-Q for the quarter ended March 31, 2025 and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incorporated herein by reference)</w:t>
              </w:r>
            </w:hyperlink>
          </w:p>
        </w:tc>
        <w:tc>
          <w:tcPr>
            <w:tcW w:w="340" w:type="dxa"/>
            <w:vAlign w:val="bottom"/>
            <w:gridSpan w:val="10"/>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5900" w:type="dxa"/>
            <w:vAlign w:val="bottom"/>
            <w:gridSpan w:val="1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Amended and Restated Letter Agreement No. 2, dated as of July 1, 2022, between Airbus S.A.S. and United Airlines,</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Inc. (filed as Exhibit 10.78 to UAL's Form 10-K for the year ended December 31, 2023 and incorporated herein by</w:t>
              </w:r>
            </w:hyperlink>
          </w:p>
        </w:tc>
        <w:tc>
          <w:tcPr>
            <w:tcW w:w="8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20">
              <w:r>
                <w:rPr>
                  <w:rFonts w:ascii="Times New Roman" w:cs="Times New Roman" w:eastAsia="Times New Roman" w:hAnsi="Times New Roman"/>
                  <w:sz w:val="18"/>
                  <w:szCs w:val="18"/>
                  <w:color w:val="0000FF"/>
                  <w:w w:val="98"/>
                </w:rPr>
                <w:t>reference)</w:t>
              </w:r>
            </w:hyperlink>
          </w:p>
        </w:tc>
        <w:tc>
          <w:tcPr>
            <w:tcW w:w="7560" w:type="dxa"/>
            <w:vAlign w:val="bottom"/>
            <w:tcBorders>
              <w:top w:val="single" w:sz="8" w:color="0000FF"/>
            </w:tcBorders>
            <w:gridSpan w:val="19"/>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Purchase Agreement No. 04761, dated as of May 15, 2018, between The Boeing Company and United Airlines, Inc.</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(filed as Exhibit 10.5 to UAL's Form 10-Q for the quarter ended June 30, 2021 and incorporated herein by reference)</w:t>
              </w:r>
            </w:hyperlink>
          </w:p>
        </w:tc>
        <w:tc>
          <w:tcPr>
            <w:tcW w:w="40" w:type="dxa"/>
            <w:vAlign w:val="bottom"/>
            <w:tcBorders>
              <w:bottom w:val="single" w:sz="8" w:color="0000FF"/>
            </w:tcBorders>
            <w:gridSpan w:val="2"/>
          </w:tcPr>
          <w:p>
            <w:pPr>
              <w:spacing w:after="0"/>
              <w:rPr>
                <w:sz w:val="13"/>
                <w:szCs w:val="13"/>
                <w:color w:val="auto"/>
              </w:rPr>
            </w:pPr>
          </w:p>
        </w:tc>
        <w:tc>
          <w:tcPr>
            <w:tcW w:w="140" w:type="dxa"/>
            <w:vAlign w:val="bottom"/>
            <w:gridSpan w:val="4"/>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940"/>
          </w:cols>
          <w:pgMar w:left="320" w:top="18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80" w:right="6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Supplemental Agreement No. 1 to Purchase Agreement No. 04761, dated as of September 25, 2018,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Boeing Company and United Airlines, Inc. (filed as Exhibit 10.6 to UAL's Form 10-Q for the quarter ended June</w:t>
              </w:r>
            </w:hyperlink>
          </w:p>
        </w:tc>
        <w:tc>
          <w:tcPr>
            <w:tcW w:w="240" w:type="dxa"/>
            <w:vAlign w:val="bottom"/>
            <w:tcBorders>
              <w:bottom w:val="single" w:sz="8" w:color="0000FF"/>
            </w:tcBorders>
            <w:gridSpan w:val="11"/>
          </w:tcPr>
          <w:p>
            <w:pPr>
              <w:jc w:val="right"/>
              <w:ind w:right="40"/>
              <w:spacing w:after="0" w:line="156" w:lineRule="exact"/>
              <w:rPr>
                <w:rFonts w:ascii="Times New Roman" w:cs="Times New Roman" w:eastAsia="Times New Roman" w:hAnsi="Times New Roman"/>
                <w:sz w:val="18"/>
                <w:szCs w:val="18"/>
                <w:color w:val="0000FF"/>
                <w:w w:val="79"/>
              </w:rPr>
            </w:pPr>
            <w:hyperlink r:id="rId223">
              <w:r>
                <w:rPr>
                  <w:rFonts w:ascii="Times New Roman" w:cs="Times New Roman" w:eastAsia="Times New Roman" w:hAnsi="Times New Roman"/>
                  <w:sz w:val="18"/>
                  <w:szCs w:val="18"/>
                  <w:color w:val="0000FF"/>
                  <w:w w:val="79"/>
                </w:rPr>
                <w:t>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2021 and incorporated herein by reference)</w:t>
              </w:r>
            </w:hyperlink>
          </w:p>
        </w:tc>
        <w:tc>
          <w:tcPr>
            <w:tcW w:w="532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Supplemental Agreement No. 2 to Purchase Agreement No. 04761, dated as of December 12, 2018, between 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Boeing Company and United Airlines, Inc. (filed as Exhibit 10.7 to UAL's Form 10-Q for the quarter ended June</w:t>
              </w:r>
            </w:hyperlink>
          </w:p>
        </w:tc>
        <w:tc>
          <w:tcPr>
            <w:tcW w:w="300" w:type="dxa"/>
            <w:vAlign w:val="bottom"/>
            <w:gridSpan w:val="14"/>
          </w:tcPr>
          <w:p>
            <w:pPr>
              <w:jc w:val="right"/>
              <w:ind w:right="60"/>
              <w:spacing w:after="0" w:line="156" w:lineRule="exact"/>
              <w:rPr>
                <w:rFonts w:ascii="Times New Roman" w:cs="Times New Roman" w:eastAsia="Times New Roman" w:hAnsi="Times New Roman"/>
                <w:sz w:val="18"/>
                <w:szCs w:val="18"/>
                <w:color w:val="0000FF"/>
                <w:w w:val="97"/>
              </w:rPr>
            </w:pPr>
            <w:hyperlink r:id="rId224">
              <w:r>
                <w:rPr>
                  <w:rFonts w:ascii="Times New Roman" w:cs="Times New Roman" w:eastAsia="Times New Roman" w:hAnsi="Times New Roman"/>
                  <w:sz w:val="18"/>
                  <w:szCs w:val="18"/>
                  <w:color w:val="0000FF"/>
                  <w:w w:val="97"/>
                </w:rPr>
                <w:t>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2021 and incorporated herein by reference)</w:t>
              </w:r>
            </w:hyperlink>
          </w:p>
        </w:tc>
        <w:tc>
          <w:tcPr>
            <w:tcW w:w="532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Supplemental Agreement No. 3 to Purchase Agreement No. 04761, dated as of March 20, 2020,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Company and United Airlines, Inc. (filed as Exhibit 10.8 to UAL's Form 10-Q for the quarter ended June 30,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Supplemental Agreement No. 4 to Purchase Agreement No. 04761, dated as of June 30, 2020,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Company and United Airlines, Inc. (filed as Exhibit 10.9 to UAL's Form 10-Q for the quarter ended June 30,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Supplemental Agreement No. 5 to Purchase Agreement No. 04761, dated as of February 26, 2021,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Boeing Company and United Airlines, Inc. (filed as Exhibit 10.33 to UAL's Form 10-Q for the quarter ended</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Supplemental Agreement No. 6 to Purchase Agreement No. 04761, dated as of June 27, 2021, between The Boeing</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Company and United Airlines, Inc. (filed as Exhibit 10.11 to UAL's Form 10-Q for the quarter ended June 30, 2021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360" w:type="dxa"/>
            <w:vAlign w:val="bottom"/>
            <w:gridSpan w:val="21"/>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Supplemental Agreement No. 7 to Purchase Agreement No. 04761, dated as of August 12, 2021,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Company and United Airlines, Inc. (filed as Exhibit 10.3 to UAL's Form 10-Q for the quarter ended September 30,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2021 and incorporated herein by reference)</w:t>
              </w:r>
            </w:hyperlink>
          </w:p>
        </w:tc>
        <w:tc>
          <w:tcPr>
            <w:tcW w:w="5180" w:type="dxa"/>
            <w:vAlign w:val="bottom"/>
            <w:tcBorders>
              <w:top w:val="single" w:sz="8" w:color="0000FF"/>
            </w:tcBorders>
            <w:gridSpan w:val="16"/>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Supplemental Agreement No. 8 to Purchase Agreement No. 04761, dated as of September 8, 2021,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Boeing Company and United Airlines, Inc. (filed as Exhibit 10.4 to UAL's Form 10-Q for the quarter ended</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September 30, 2021 and incorporated herein by reference)</w:t>
              </w:r>
            </w:hyperlink>
          </w:p>
        </w:tc>
        <w:tc>
          <w:tcPr>
            <w:tcW w:w="3560" w:type="dxa"/>
            <w:vAlign w:val="bottom"/>
            <w:tcBorders>
              <w:top w:val="single" w:sz="8" w:color="0000FF"/>
            </w:tcBorders>
          </w:tcPr>
          <w:p>
            <w:pPr>
              <w:spacing w:after="0"/>
              <w:rPr>
                <w:sz w:val="14"/>
                <w:szCs w:val="14"/>
                <w:color w:val="auto"/>
              </w:rPr>
            </w:pPr>
          </w:p>
        </w:tc>
        <w:tc>
          <w:tcPr>
            <w:tcW w:w="1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1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Supplemental Agreement No. 9 to Purchase Agreement No. 04761, dated as of November 30, 2021, between The</w:t>
              </w:r>
            </w:hyperlink>
          </w:p>
        </w:tc>
        <w:tc>
          <w:tcPr>
            <w:tcW w:w="3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gridSpan w:val="29"/>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Boeing Company and United Airlines (filed as Exhibit 10.83 to UAL's Form 10-K for the year ended December 31,</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2021 and incorporated herein by reference)</w:t>
              </w:r>
            </w:hyperlink>
          </w:p>
        </w:tc>
        <w:tc>
          <w:tcPr>
            <w:tcW w:w="52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Supplemental Agreement No. 10 to Purchase Agreement No. 04761, dated as of June 30, 2022,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Company and United Airlines, Inc. (filed as Exhibit 10.2 to UAL's Form 10-Q for the quarter ended June 30, 2022</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Supplemental Agreement No. 11 to Purchase Agreement Number 04761, dated as of November 29, 2022, between</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The Boeing Company and United Airlines, Inc. (filed as Exhibit 10.90 to UAL's Form 10-K for the year ended</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8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December 31, 2022 and incorporated herein by reference)</w:t>
              </w:r>
            </w:hyperlink>
          </w:p>
        </w:tc>
        <w:tc>
          <w:tcPr>
            <w:tcW w:w="260" w:type="dxa"/>
            <w:vAlign w:val="bottom"/>
            <w:gridSpan w:val="6"/>
          </w:tcPr>
          <w:p>
            <w:pPr>
              <w:spacing w:after="0"/>
              <w:rPr>
                <w:sz w:val="14"/>
                <w:szCs w:val="14"/>
                <w:color w:val="auto"/>
              </w:rPr>
            </w:pPr>
          </w:p>
        </w:tc>
        <w:tc>
          <w:tcPr>
            <w:tcW w:w="16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Supplemental Agreement No. 12 to Purchase Agreement No. 04761, dated as of December 12, 2022, between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3380" w:type="dxa"/>
            <w:vAlign w:val="bottom"/>
            <w:gridSpan w:val="3"/>
            <w:shd w:val="clear" w:color="auto" w:fill="0000FF"/>
          </w:tcPr>
          <w:p>
            <w:pPr>
              <w:spacing w:after="0" w:line="20" w:lineRule="exact"/>
              <w:rPr>
                <w:sz w:val="1"/>
                <w:szCs w:val="1"/>
                <w:color w:val="auto"/>
              </w:rPr>
            </w:pPr>
          </w:p>
        </w:tc>
        <w:tc>
          <w:tcPr>
            <w:tcW w:w="4560" w:type="dxa"/>
            <w:vAlign w:val="bottom"/>
            <w:gridSpan w:val="5"/>
            <w:shd w:val="clear" w:color="auto" w:fill="0000FF"/>
          </w:tcPr>
          <w:p>
            <w:pPr>
              <w:spacing w:after="0" w:line="20" w:lineRule="exact"/>
              <w:rPr>
                <w:sz w:val="1"/>
                <w:szCs w:val="1"/>
                <w:color w:val="auto"/>
              </w:rPr>
            </w:pPr>
          </w:p>
        </w:tc>
        <w:tc>
          <w:tcPr>
            <w:tcW w:w="300" w:type="dxa"/>
            <w:vAlign w:val="bottom"/>
            <w:gridSpan w:val="7"/>
            <w:shd w:val="clear" w:color="auto" w:fill="0000FF"/>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20" w:type="dxa"/>
            <w:vAlign w:val="bottom"/>
            <w:gridSpan w:val="29"/>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Boeing Company and United Airlines, Inc. (filed as Exhibit 10.91 to UAL's Form 10-K for the year ended December</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31, 2022 and incorporated herein by reference)</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Supplemental Agreement No. 13 to Purchase Agreement No. 04761, dated as of December 15, 2023, between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7940" w:type="dxa"/>
            <w:vAlign w:val="bottom"/>
            <w:gridSpan w:val="8"/>
            <w:shd w:val="clear" w:color="auto" w:fill="0000FF"/>
          </w:tcPr>
          <w:p>
            <w:pPr>
              <w:spacing w:after="0" w:line="20" w:lineRule="exact"/>
              <w:rPr>
                <w:sz w:val="1"/>
                <w:szCs w:val="1"/>
                <w:color w:val="auto"/>
              </w:rPr>
            </w:pPr>
          </w:p>
        </w:tc>
        <w:tc>
          <w:tcPr>
            <w:tcW w:w="300" w:type="dxa"/>
            <w:vAlign w:val="bottom"/>
            <w:gridSpan w:val="7"/>
            <w:shd w:val="clear" w:color="auto" w:fill="0000FF"/>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20" w:type="dxa"/>
            <w:vAlign w:val="bottom"/>
            <w:gridSpan w:val="29"/>
          </w:tcPr>
          <w:p>
            <w:pPr>
              <w:spacing w:after="0" w:line="15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Boeing Company and United Airlines, Inc. (filed as Exhibit 10.92 to UAL's Form 10-K for the year ended December</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31, 2023 and incorporated herein by reference)</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9"/>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Purchase Agreement No. 04815, dated as of May 31, 2018, between The Boeing Company and United Airlines, Inc.</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(filed as Exhibit 10.92 to UAL's Form 10-K for the year ended December 31, 2022 and incorporated herein by</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1">
            <w:col w:w="10900"/>
          </w:cols>
          <w:pgMar w:left="320" w:top="18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80" w:right="67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^10.94</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Supplemental Agreement No. 1 to Purchase Agreement Number 04815, dated as of September 25, 2018, between The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Boeing Company and United Airlines, Inc. (filed as Exhibit 10.93 to UAL's Form 10-K for the year ended December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31, 2022 and incorporated herein by reference)</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^10.95</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Supplemental Agreement No. 2 to Purchase Agreement Number 04815, dated as of November 1, 2018, between The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Boeing Company and United Airlines, Inc. (filed as Exhibit 10.94 to UAL's Form 10-K for the year ended December</w:t>
              </w:r>
            </w:hyperlink>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31, 2022 and incorporated herein by reference)</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^10.96</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Supplemental Agreement No. 3 to Purchase Agreement Number 04815, dated as of December 12, 2018, between The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Boeing Company and United Airlines, Inc. (filed as Exhibit 10.95 to UAL's Form 10-K for the year ended December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31, 2022 and incorporated herein by reference)</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^10.97</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Supplemental Agreement No. 4 to Purchase Agreement Number 04815, dated as of April 26, 2019, between The</w:t>
              </w:r>
            </w:hyperlink>
          </w:p>
        </w:tc>
        <w:tc>
          <w:tcPr>
            <w:tcW w:w="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21"/>
          </w:tcPr>
          <w:p>
            <w:pPr>
              <w:spacing w:after="0" w:line="15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Boeing Company and United Airlines, Inc. (filed as Exhibit 10.96 to UAL's Form 10-K for the year ended December</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31, 2022 and incorporated herein by reference)</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^10.98</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Supplemental Agreement No. 5 to Purchase Agreement Number 04815, dated as of October 31, 2019, between The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Boeing Company and United Airlines, Inc. (filed as Exhibit 10.97 to UAL's Form 10-K for the year ended December</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31, 2022 and incorporated herein by reference)</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^10.99</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Supplemental Agreement No. 6 to Purchase Agreement Number 04815, dated as of February 7, 2020, between The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243">
              <w:r>
                <w:rPr>
                  <w:rFonts w:ascii="Times New Roman" w:cs="Times New Roman" w:eastAsia="Times New Roman" w:hAnsi="Times New Roman"/>
                  <w:sz w:val="18"/>
                  <w:szCs w:val="18"/>
                  <w:color w:val="0000FF"/>
                  <w:w w:val="98"/>
                </w:rPr>
                <w:t>Boeing Company and United Airlines, Inc. (filed as Exhibit 10.98 to UAL's Form 10-K for the year ended December</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31, 2022 and incorporated herein by reference)</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^10.100</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Supplemental Agreement No. 7 to Purchase Agreement Number 04815, dated as of March 20, 2020, between The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vMerge w:val="restart"/>
          </w:tcPr>
          <w:p>
            <w:pPr>
              <w:ind w:left="32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4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8540" w:type="dxa"/>
            <w:vAlign w:val="bottom"/>
            <w:gridSpan w:val="21"/>
          </w:tcPr>
          <w:p>
            <w:pPr>
              <w:spacing w:after="0" w:line="15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Boeing Company and United Airlines, Inc. (filed as Exhibit 10.99 to UAL's Form 10-K for the year ended December</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31, 2022 and incorporated herein by reference)</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0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Supplemental Agreement No. 8 to Purchase Agreement Number 04815, dated as of June 30, 2020, between The</w:t>
              </w:r>
            </w:hyperlink>
          </w:p>
        </w:tc>
        <w:tc>
          <w:tcPr>
            <w:tcW w:w="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21"/>
          </w:tcPr>
          <w:p>
            <w:pPr>
              <w:spacing w:after="0" w:line="15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Boeing Company and United Airlines, Inc. (filed as Exhibit 10.100 to UAL's Form 10-K for the year ended December</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Supplemental Agreement No. 9 to Purchase Agreement Number 04815, dated as of February 26, 2021, between The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246">
              <w:r>
                <w:rPr>
                  <w:rFonts w:ascii="Times New Roman" w:cs="Times New Roman" w:eastAsia="Times New Roman" w:hAnsi="Times New Roman"/>
                  <w:sz w:val="18"/>
                  <w:szCs w:val="18"/>
                  <w:color w:val="0000FF"/>
                  <w:w w:val="98"/>
                </w:rPr>
                <w:t>Boeing Company and United Airlines, Inc. (filed as Exhibit 10.101 to UAL's Form 10-K for the year ended December</w:t>
              </w:r>
            </w:hyperlink>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^10.103</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Supplemental Agreement No. 10 to Purchase Agreement Number 04815, dated as of August 25, 2022, between The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7"/>
              </w:rPr>
            </w:pPr>
            <w:hyperlink r:id="rId247">
              <w:r>
                <w:rPr>
                  <w:rFonts w:ascii="Times New Roman" w:cs="Times New Roman" w:eastAsia="Times New Roman" w:hAnsi="Times New Roman"/>
                  <w:sz w:val="18"/>
                  <w:szCs w:val="18"/>
                  <w:color w:val="0000FF"/>
                  <w:w w:val="97"/>
                </w:rPr>
                <w:t>Boeing Company and United Airlines, Inc. (filed as Exhibit 10.102 to UAL's Form 10-K for the year ended December</w:t>
              </w:r>
            </w:hyperlink>
          </w:p>
        </w:tc>
        <w:tc>
          <w:tcPr>
            <w:tcW w:w="2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^10.104</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Supplemental Agreement No. 11 to Purchase Agreement Number 04815, dated as of September 27, 2022, between</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The Boeing Company and United Airlines, Inc. (filed as Exhibit 10.103 to UAL's Form 10-K for the year ended</w:t>
              </w:r>
            </w:hyperlink>
          </w:p>
        </w:tc>
        <w:tc>
          <w:tcPr>
            <w:tcW w:w="20" w:type="dxa"/>
            <w:vAlign w:val="bottom"/>
          </w:tcPr>
          <w:p>
            <w:pPr>
              <w:spacing w:after="0"/>
              <w:rPr>
                <w:sz w:val="13"/>
                <w:szCs w:val="13"/>
                <w:color w:val="auto"/>
              </w:rPr>
            </w:pPr>
          </w:p>
        </w:tc>
        <w:tc>
          <w:tcPr>
            <w:tcW w:w="2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6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December 31, 2022 and incorporated herein by reference)</w:t>
              </w:r>
            </w:hyperlink>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^10.105</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Supplemental Agreement No. 12 to Purchase Agreement Number 04815, dated as of December 12, 2022, between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The Boeing Company and United Airlines, Inc. (filed as Exhibit 10.104 to UAL's Form 10-K for the year ended</w:t>
              </w:r>
            </w:hyperlink>
          </w:p>
        </w:tc>
        <w:tc>
          <w:tcPr>
            <w:tcW w:w="40" w:type="dxa"/>
            <w:vAlign w:val="bottom"/>
            <w:gridSpan w:val="2"/>
          </w:tcPr>
          <w:p>
            <w:pPr>
              <w:spacing w:after="0"/>
              <w:rPr>
                <w:sz w:val="13"/>
                <w:szCs w:val="13"/>
                <w:color w:val="auto"/>
              </w:rPr>
            </w:pPr>
          </w:p>
        </w:tc>
        <w:tc>
          <w:tcPr>
            <w:tcW w:w="2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6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December 31, 2022 and incorporated herein by reference)</w:t>
              </w:r>
            </w:hyperlink>
          </w:p>
        </w:tc>
        <w:tc>
          <w:tcPr>
            <w:tcW w:w="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2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^10.106</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Supplemental Agreement No. 13 to Purchase Agreement No. 04815, dated as of September 28, 2023, between The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Boeing Company and United Airlines, Inc. (filed as Exhibit 10.34 to UAL's Form 10-Q for the quarter ended</w:t>
              </w:r>
            </w:hyperlink>
          </w:p>
        </w:tc>
        <w:tc>
          <w:tcPr>
            <w:tcW w:w="2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tcPr>
          <w:p>
            <w:pPr>
              <w:spacing w:after="0"/>
              <w:rPr>
                <w:sz w:val="14"/>
                <w:szCs w:val="14"/>
                <w:color w:val="auto"/>
              </w:rPr>
            </w:pPr>
          </w:p>
        </w:tc>
        <w:tc>
          <w:tcPr>
            <w:tcW w:w="240" w:type="dxa"/>
            <w:vAlign w:val="bottom"/>
            <w:gridSpan w:val="2"/>
          </w:tcPr>
          <w:p>
            <w:pPr>
              <w:spacing w:after="0"/>
              <w:rPr>
                <w:sz w:val="14"/>
                <w:szCs w:val="14"/>
                <w:color w:val="auto"/>
              </w:rPr>
            </w:pPr>
          </w:p>
        </w:tc>
        <w:tc>
          <w:tcPr>
            <w:tcW w:w="46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^10.107</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1"/>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Supplemental Agreement No. 14 to Purchase Agreement No. 04815, dated as of October 24, 2024, between The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vMerge w:val="restart"/>
          </w:tcPr>
          <w:p>
            <w:pPr>
              <w:ind w:left="32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8080" w:type="dxa"/>
            <w:vAlign w:val="bottom"/>
            <w:gridSpan w:val="6"/>
            <w:shd w:val="clear" w:color="auto" w:fill="0000FF"/>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8520" w:type="dxa"/>
            <w:vAlign w:val="bottom"/>
            <w:tcBorders>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Boeing Company and United Airlines, Inc. (filed as Exhibit 10.107 to UAL's Form 10-K for the year ended December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31, 2024 and incorporated herein by reference)</w:t>
        </w:r>
      </w:hyperlink>
    </w:p>
    <w:p>
      <w:pPr>
        <w:sectPr>
          <w:pgSz w:w="11900" w:h="16838" w:orient="portrait"/>
          <w:cols w:equalWidth="0" w:num="1">
            <w:col w:w="10920"/>
          </w:cols>
          <w:pgMar w:left="320" w:top="18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0" w:right="65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^10.108</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Supplemental Agreement No. 15 to Purchase Agreement No. 04815, dated as of December 30, 2025, between The</w:t>
            </w: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31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Boeing Company and United Airlines, Inc.</w:t>
            </w:r>
          </w:p>
        </w:tc>
        <w:tc>
          <w:tcPr>
            <w:tcW w:w="51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^10.109</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United Letter Agreement No. 22004762, dated as of December 12, 2022, to Purchase Agreement No. 03860, dated as</w:t>
              </w:r>
            </w:hyperlink>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of June 15, 2017, and Purchase Agreement No. 04815, dated as of May 31, 2018, between the Boeing Company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United Airlines, Inc. (filed as Exhibit 10.105 to UAL's Form 10-K for the year ended December 31, 2022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incorporated herein by reference)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^10.110</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United Letter Agreement No. 22004729, dated as of December 12, 2022, to Purchase Agreement No. 03860, dated as</w:t>
              </w:r>
            </w:hyperlink>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of June 15, 2017, Purchase Agreement No. 04815, dated as of May 31, 2018, and Purchase Agreement No. 02484,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dated as of December 29, 2004, among The Boeing Company and United Airlines, Inc. (filed as Exhibit 10.106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UAL's Form 10-K for the year ended December 31, 2022 and incorporated herein by reference)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1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Letter Agreement No. 22004729R1, dated as of September 28, 2023, between The Boeing Company and United</w:t>
              </w:r>
            </w:hyperlink>
          </w:p>
        </w:tc>
        <w:tc>
          <w:tcPr>
            <w:tcW w:w="420" w:type="dxa"/>
            <w:vAlign w:val="bottom"/>
            <w:gridSpan w:val="15"/>
          </w:tcPr>
          <w:p>
            <w:pPr>
              <w:spacing w:after="0"/>
              <w:rPr>
                <w:sz w:val="24"/>
                <w:szCs w:val="24"/>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gridSpan w:val="30"/>
          </w:tcPr>
          <w:p>
            <w:pPr>
              <w:spacing w:after="0" w:line="15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Airlines, Inc. (related to Purchase Agreement Nos. 03860, 04815 and 02484) (filed as Exhibit 10.35 to UAL's Form</w:t>
              </w:r>
            </w:hyperlink>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32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10-Q for the quarter ended September 30, 2023 and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Letter Agreement No. UAL-NM-2404793, dated as of October 24, 2024, between The Boeing Company and United</w:t>
              </w:r>
            </w:hyperlink>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Airlines, Inc. (related to Purchase Agreement No. 04815) (filed as Exhibit 10.111 to UAL's Form 10-K for the year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ended December 31, 2024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10.113</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4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Payroll Support Program Agreement, dated as of April 20, 2020, between United Airlines, Inc. and the United States</w:t>
              </w:r>
            </w:hyperlink>
          </w:p>
        </w:tc>
        <w:tc>
          <w:tcPr>
            <w:tcW w:w="100" w:type="dxa"/>
            <w:vAlign w:val="bottom"/>
            <w:gridSpan w:val="5"/>
          </w:tcPr>
          <w:p>
            <w:pPr>
              <w:spacing w:after="0"/>
              <w:rPr>
                <w:sz w:val="24"/>
                <w:szCs w:val="24"/>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gridSpan w:val="30"/>
          </w:tcPr>
          <w:p>
            <w:pPr>
              <w:spacing w:after="0" w:line="15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Department of the Treasury (filed as Exhibit 10.1 to UAL's Form 8-K filed April 23, 2020 and incorporated herein by</w:t>
              </w:r>
            </w:hyperlink>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57">
              <w:r>
                <w:rPr>
                  <w:rFonts w:ascii="Times New Roman" w:cs="Times New Roman" w:eastAsia="Times New Roman" w:hAnsi="Times New Roman"/>
                  <w:sz w:val="18"/>
                  <w:szCs w:val="18"/>
                  <w:color w:val="0000FF"/>
                  <w:w w:val="98"/>
                </w:rPr>
                <w:t>reference)</w:t>
              </w:r>
            </w:hyperlink>
          </w:p>
        </w:tc>
        <w:tc>
          <w:tcPr>
            <w:tcW w:w="774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10.114</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Payroll Support Program Extension Agreement, dated as of January 15, 2021, between United Airlines, Inc. and the</w:t>
              </w:r>
            </w:hyperlink>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United States Department of the Treasury (filed as Exhibit 10.1 to UAL's Form 8-K filed January 20, 2021 and</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incorporated herein by reference)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10.115</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Term Loan Credit and Guaranty Agreement, dated as of April 21, 2021, among United Airlines, Inc., United Airlines</w:t>
              </w:r>
            </w:hyperlink>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2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Holdings, Inc., each of the several banks and other financial institutions or entities from time to time party thereto, as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40" w:type="dxa"/>
            <w:vAlign w:val="bottom"/>
            <w:gridSpan w:val="26"/>
          </w:tcPr>
          <w:p>
            <w:pPr>
              <w:spacing w:after="0" w:line="169"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lenders, JPMorgan Chase Bank, N.A., as administrative agent, and Wilmington Trust, National Association, as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100" w:type="dxa"/>
            <w:vAlign w:val="bottom"/>
            <w:gridSpan w:val="6"/>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460" w:type="dxa"/>
            <w:vAlign w:val="bottom"/>
            <w:tcBorders>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collateral trustee (filed as Exhibit 10.1 to UAL's Form 8-K filed April 22, 2021 and incorporated herein by reference)</w:t>
              </w:r>
            </w:hyperlink>
          </w:p>
        </w:tc>
        <w:tc>
          <w:tcPr>
            <w:tcW w:w="60" w:type="dxa"/>
            <w:vAlign w:val="bottom"/>
            <w:gridSpan w:val="3"/>
          </w:tcPr>
          <w:p>
            <w:pPr>
              <w:spacing w:after="0"/>
              <w:rPr>
                <w:sz w:val="13"/>
                <w:szCs w:val="13"/>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10.116</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Amendment No. 2 to Term Loan Credit and Guaranty Agreement, dated as of February 22, 2024, among United</w:t>
              </w:r>
            </w:hyperlink>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7"/>
              </w:rPr>
            </w:pPr>
            <w:hyperlink r:id="rId260">
              <w:r>
                <w:rPr>
                  <w:rFonts w:ascii="Times New Roman" w:cs="Times New Roman" w:eastAsia="Times New Roman" w:hAnsi="Times New Roman"/>
                  <w:sz w:val="18"/>
                  <w:szCs w:val="18"/>
                  <w:color w:val="0000FF"/>
                  <w:w w:val="97"/>
                </w:rPr>
                <w:t>Airlines, Inc., United Airlines Holdings, Inc., and JPMorgan Chase Bank, N.A., as fronting lender and replacement</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30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w w:val="97"/>
              </w:rPr>
            </w:pPr>
            <w:hyperlink r:id="rId260">
              <w:r>
                <w:rPr>
                  <w:rFonts w:ascii="Times New Roman" w:cs="Times New Roman" w:eastAsia="Times New Roman" w:hAnsi="Times New Roman"/>
                  <w:sz w:val="18"/>
                  <w:szCs w:val="18"/>
                  <w:color w:val="0000FF"/>
                  <w:w w:val="97"/>
                </w:rPr>
                <w:t>lender and as administrative agent (filed as Exhibit 10.2 to UAL's Form 8-K filed February 22, 2024 and incorporated</w:t>
              </w:r>
            </w:hyperlink>
          </w:p>
        </w:tc>
        <w:tc>
          <w:tcPr>
            <w:tcW w:w="200" w:type="dxa"/>
            <w:vAlign w:val="bottom"/>
            <w:tcBorders>
              <w:bottom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herein by reference)</w:t>
              </w:r>
            </w:hyperlink>
          </w:p>
        </w:tc>
        <w:tc>
          <w:tcPr>
            <w:tcW w:w="7040" w:type="dxa"/>
            <w:vAlign w:val="bottom"/>
            <w:gridSpan w:val="27"/>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10.117</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Amendment No. 3 to Term Loan Credit and Guaranty Agreement, dated as of November 1, 2024, among United</w:t>
            </w: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0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Airlines, Inc., United Airlines Holdings, Inc., and JPMorgan Chase Bank, N.A., as fronting lender and as</w:t>
            </w:r>
          </w:p>
        </w:tc>
        <w:tc>
          <w:tcPr>
            <w:tcW w:w="120" w:type="dxa"/>
            <w:vAlign w:val="bottom"/>
          </w:tcPr>
          <w:p>
            <w:pPr>
              <w:spacing w:after="0"/>
              <w:rPr>
                <w:sz w:val="13"/>
                <w:szCs w:val="13"/>
                <w:color w:val="auto"/>
              </w:rPr>
            </w:pPr>
          </w:p>
        </w:tc>
        <w:tc>
          <w:tcPr>
            <w:tcW w:w="300" w:type="dxa"/>
            <w:vAlign w:val="bottom"/>
            <w:gridSpan w:val="14"/>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56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administrative agent</w:t>
            </w:r>
          </w:p>
        </w:tc>
        <w:tc>
          <w:tcPr>
            <w:tcW w:w="42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300" w:type="dxa"/>
            <w:vAlign w:val="bottom"/>
            <w:gridSpan w:val="14"/>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14"/>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10.118</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Amendment No. 4 to Term Loan Credit and Guaranty Agreement, dated as of February 3, 2026, among United</w:t>
            </w: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98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Airlines, Inc., United Airlines Holdings, Inc., and JPMorgan Chase Bank, N.A., as fronting lender and as</w:t>
            </w:r>
          </w:p>
        </w:tc>
        <w:tc>
          <w:tcPr>
            <w:tcW w:w="8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300" w:type="dxa"/>
            <w:vAlign w:val="bottom"/>
            <w:gridSpan w:val="14"/>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56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administrative agent</w:t>
            </w:r>
          </w:p>
        </w:tc>
        <w:tc>
          <w:tcPr>
            <w:tcW w:w="500" w:type="dxa"/>
            <w:vAlign w:val="bottom"/>
            <w:gridSpan w:val="5"/>
          </w:tcPr>
          <w:p>
            <w:pPr>
              <w:spacing w:after="0"/>
              <w:rPr>
                <w:sz w:val="14"/>
                <w:szCs w:val="14"/>
                <w:color w:val="auto"/>
              </w:rPr>
            </w:pPr>
          </w:p>
        </w:tc>
        <w:tc>
          <w:tcPr>
            <w:tcW w:w="160" w:type="dxa"/>
            <w:vAlign w:val="bottom"/>
            <w:gridSpan w:val="3"/>
          </w:tcPr>
          <w:p>
            <w:pPr>
              <w:spacing w:after="0"/>
              <w:rPr>
                <w:sz w:val="14"/>
                <w:szCs w:val="14"/>
                <w:color w:val="auto"/>
              </w:rPr>
            </w:pPr>
          </w:p>
        </w:tc>
        <w:tc>
          <w:tcPr>
            <w:tcW w:w="300" w:type="dxa"/>
            <w:vAlign w:val="bottom"/>
            <w:gridSpan w:val="14"/>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600" w:type="dxa"/>
            <w:vAlign w:val="bottom"/>
            <w:gridSpan w:val="1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14"/>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10.119</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30"/>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Payroll Support Program 3 Agreement, dated as of April 29, 2021, between United Airlines, Inc. and the United</w:t>
              </w:r>
            </w:hyperlink>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7"/>
              </w:rPr>
            </w:pPr>
            <w:hyperlink r:id="rId261">
              <w:r>
                <w:rPr>
                  <w:rFonts w:ascii="Times New Roman" w:cs="Times New Roman" w:eastAsia="Times New Roman" w:hAnsi="Times New Roman"/>
                  <w:sz w:val="18"/>
                  <w:szCs w:val="18"/>
                  <w:color w:val="0000FF"/>
                  <w:w w:val="97"/>
                </w:rPr>
                <w:t>States Department of the Treasury (filed as Exhibit 10.1 to UAL's Form 8-K filed April 30, 2021 and incorporated</w:t>
              </w:r>
            </w:hyperlink>
          </w:p>
        </w:tc>
        <w:tc>
          <w:tcPr>
            <w:tcW w:w="1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80" w:type="dxa"/>
            <w:vAlign w:val="bottom"/>
            <w:gridSpan w:val="13"/>
          </w:tcPr>
          <w:p>
            <w:pPr>
              <w:spacing w:after="0"/>
              <w:rPr>
                <w:sz w:val="13"/>
                <w:szCs w:val="13"/>
                <w:color w:val="auto"/>
              </w:rPr>
            </w:pPr>
          </w:p>
        </w:tc>
      </w:tr>
    </w:tbl>
    <w:p>
      <w:pPr>
        <w:ind w:left="2400"/>
        <w:spacing w:after="0"/>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80" w:right="6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10.120</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Amended and Restated Revolving Credit and Guaranty Agreement, dated as of February 15, 2024, among United</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Airlines, Inc., United Airlines Holdings, Inc., each of the several banks and other financial institutions or entities</w:t>
              </w:r>
            </w:hyperlink>
          </w:p>
        </w:tc>
        <w:tc>
          <w:tcPr>
            <w:tcW w:w="400" w:type="dxa"/>
            <w:vAlign w:val="bottom"/>
            <w:gridSpan w:val="10"/>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from</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time to time party thereto, as lenders, JPMorgan Chase Bank, N.A., as administrative agent, and Wilmington Trust,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National Association, as collateral trustee (filed as Exhibit 10.1 to UAL's Form 8-K filed February 22, 2024 and</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incorporated herein by reference)</w:t>
              </w:r>
            </w:hyperlink>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Increase Joinder to the Amended and Restated Revolving Credit and Guaranty Agreement, dated as of April 16, 2024,</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among United Airlines, Inc., United Airlines Holdings, Inc., the lenders party thereto, JPMorgan Chase Bank, N.A., as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60" w:type="dxa"/>
            <w:vAlign w:val="bottom"/>
            <w:gridSpan w:val="26"/>
          </w:tcPr>
          <w:p>
            <w:pPr>
              <w:spacing w:after="0" w:line="169"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administrative agent, and Wilmington Trust, National Association, as collateral trustee (filed as Exhibit 10.4 to UAL's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Form 10-Q for the quarter ended June 30, 2024 and incorporated herein by reference)</w:t>
              </w:r>
            </w:hyperlink>
          </w:p>
        </w:tc>
        <w:tc>
          <w:tcPr>
            <w:tcW w:w="2340" w:type="dxa"/>
            <w:vAlign w:val="bottom"/>
            <w:tcBorders>
              <w:top w:val="single" w:sz="8" w:color="0000FF"/>
            </w:tcBorders>
            <w:gridSpan w:val="1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Letter Agreement No. 2401454, dated as of April 14, 2024, between The Boeing Company and United Airlines, Inc.</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(related to Purchase Agreement Nos. 03776 and 04761) (filed as Exhibit 10.2 to UAL's Form 10-Q for the quarter</w:t>
              </w:r>
            </w:hyperlink>
          </w:p>
        </w:tc>
        <w:tc>
          <w:tcPr>
            <w:tcW w:w="4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ended June 30, 2024 and incorporated herein by reference)</w:t>
              </w:r>
            </w:hyperlink>
          </w:p>
        </w:tc>
        <w:tc>
          <w:tcPr>
            <w:tcW w:w="3960" w:type="dxa"/>
            <w:vAlign w:val="bottom"/>
            <w:tcBorders>
              <w:top w:val="single" w:sz="8" w:color="0000FF"/>
            </w:tcBorders>
            <w:gridSpan w:val="10"/>
          </w:tcPr>
          <w:p>
            <w:pPr>
              <w:spacing w:after="0"/>
              <w:rPr>
                <w:sz w:val="14"/>
                <w:szCs w:val="14"/>
                <w:color w:val="auto"/>
              </w:rPr>
            </w:pPr>
          </w:p>
        </w:tc>
        <w:tc>
          <w:tcPr>
            <w:tcW w:w="200" w:type="dxa"/>
            <w:vAlign w:val="bottom"/>
            <w:gridSpan w:val="3"/>
          </w:tcPr>
          <w:p>
            <w:pPr>
              <w:spacing w:after="0"/>
              <w:rPr>
                <w:sz w:val="14"/>
                <w:szCs w:val="14"/>
                <w:color w:val="auto"/>
              </w:rPr>
            </w:pPr>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^10.123</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Letter Agreement No. 2401633, dated as of April 14, 2024, between The Boeing Company and United Airlines, Inc.</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(related to Purchase Agreement Nos. 03776 and 04761) (filed as Exhibit 10.3 to UAL's Form 10-Q for the quarter</w:t>
              </w:r>
            </w:hyperlink>
          </w:p>
        </w:tc>
        <w:tc>
          <w:tcPr>
            <w:tcW w:w="4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ended June 30, 2024 and incorporated herein by reference)</w:t>
              </w:r>
            </w:hyperlink>
          </w:p>
        </w:tc>
        <w:tc>
          <w:tcPr>
            <w:tcW w:w="3980" w:type="dxa"/>
            <w:vAlign w:val="bottom"/>
            <w:tcBorders>
              <w:top w:val="single" w:sz="8" w:color="0000FF"/>
            </w:tcBorders>
            <w:gridSpan w:val="11"/>
          </w:tcPr>
          <w:p>
            <w:pPr>
              <w:spacing w:after="0"/>
              <w:rPr>
                <w:sz w:val="14"/>
                <w:szCs w:val="14"/>
                <w:color w:val="auto"/>
              </w:rPr>
            </w:pPr>
          </w:p>
        </w:tc>
        <w:tc>
          <w:tcPr>
            <w:tcW w:w="200" w:type="dxa"/>
            <w:vAlign w:val="bottom"/>
            <w:gridSpan w:val="3"/>
          </w:tcPr>
          <w:p>
            <w:pPr>
              <w:spacing w:after="0"/>
              <w:rPr>
                <w:sz w:val="14"/>
                <w:szCs w:val="14"/>
                <w:color w:val="auto"/>
              </w:rPr>
            </w:pPr>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4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United Airlines Holdings, Inc. Securities Trading Policy</w:t>
            </w:r>
          </w:p>
        </w:tc>
        <w:tc>
          <w:tcPr>
            <w:tcW w:w="45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5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List of United Airlines Holdings, Inc. and United Airlines, Inc. Subsidiaries</w:t>
            </w:r>
          </w:p>
        </w:tc>
        <w:tc>
          <w:tcPr>
            <w:tcW w:w="31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Consents of Experts and Counsel</w:t>
            </w:r>
          </w:p>
        </w:tc>
        <w:tc>
          <w:tcPr>
            <w:tcW w:w="0" w:type="dxa"/>
            <w:vAlign w:val="bottom"/>
          </w:tcPr>
          <w:p>
            <w:pPr>
              <w:spacing w:after="0"/>
              <w:rPr>
                <w:sz w:val="1"/>
                <w:szCs w:val="1"/>
                <w:color w:val="auto"/>
              </w:rPr>
            </w:pPr>
          </w:p>
        </w:tc>
      </w:tr>
      <w:tr>
        <w:trPr>
          <w:trHeight w:val="441"/>
        </w:trPr>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580" w:type="dxa"/>
            <w:vAlign w:val="bottom"/>
            <w:gridSpan w:val="2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40" w:type="dxa"/>
            <w:vAlign w:val="bottom"/>
            <w:gridSpan w:val="3"/>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4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 (Ernst &amp; Young LLP) for United Airlines Holdings, Inc.</w:t>
            </w:r>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(Ernst &amp; Young LLP) for United Airlines, Inc.</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7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tc>
        <w:tc>
          <w:tcPr>
            <w:tcW w:w="8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0" w:type="dxa"/>
            <w:vAlign w:val="bottom"/>
            <w:gridSpan w:val="4"/>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of United Airlines Holdings, Inc. pursuant to 15 U.S.C. 78m(a) or</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78o(d) (Section 302 of the Sarbanes-Oxley Act of 2002)</w:t>
            </w:r>
          </w:p>
        </w:tc>
        <w:tc>
          <w:tcPr>
            <w:tcW w:w="4140" w:type="dxa"/>
            <w:vAlign w:val="bottom"/>
            <w:tcBorders>
              <w:top w:val="single" w:sz="8" w:color="0000FF"/>
            </w:tcBorders>
            <w:gridSpan w:val="11"/>
          </w:tcPr>
          <w:p>
            <w:pPr>
              <w:spacing w:after="0"/>
              <w:rPr>
                <w:sz w:val="13"/>
                <w:szCs w:val="13"/>
                <w:color w:val="auto"/>
              </w:rPr>
            </w:pPr>
          </w:p>
        </w:tc>
        <w:tc>
          <w:tcPr>
            <w:tcW w:w="3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of United Airlines Holdings, Inc. pursuant to 15 U.S.C. 78m(a) or</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78o(d) (Section 302 of the Sarbanes-Oxley Act of 2002)</w:t>
            </w:r>
          </w:p>
        </w:tc>
        <w:tc>
          <w:tcPr>
            <w:tcW w:w="4060" w:type="dxa"/>
            <w:vAlign w:val="bottom"/>
            <w:tcBorders>
              <w:top w:val="single" w:sz="8" w:color="0000FF"/>
            </w:tcBorders>
            <w:gridSpan w:val="9"/>
          </w:tcPr>
          <w:p>
            <w:pPr>
              <w:spacing w:after="0"/>
              <w:rPr>
                <w:sz w:val="13"/>
                <w:szCs w:val="13"/>
                <w:color w:val="auto"/>
              </w:rPr>
            </w:pPr>
          </w:p>
        </w:tc>
        <w:tc>
          <w:tcPr>
            <w:tcW w:w="4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of United Airlines, Inc. pursuant to 15 U.S.C. 78m(a) or 78o(d)</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4460" w:type="dxa"/>
            <w:vAlign w:val="bottom"/>
            <w:tcBorders>
              <w:top w:val="single" w:sz="8" w:color="0000FF"/>
            </w:tcBorders>
            <w:gridSpan w:val="8"/>
          </w:tcPr>
          <w:p>
            <w:pPr>
              <w:spacing w:after="0"/>
              <w:rPr>
                <w:sz w:val="13"/>
                <w:szCs w:val="13"/>
                <w:color w:val="auto"/>
              </w:rPr>
            </w:pPr>
          </w:p>
        </w:tc>
        <w:tc>
          <w:tcPr>
            <w:tcW w:w="5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of United Airlines, Inc. pursuant to 15 U.S.C. 78m(a) or 78o(d)</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4400" w:type="dxa"/>
            <w:vAlign w:val="bottom"/>
            <w:tcBorders>
              <w:top w:val="single" w:sz="8" w:color="0000FF"/>
            </w:tcBorders>
            <w:gridSpan w:val="7"/>
          </w:tcPr>
          <w:p>
            <w:pPr>
              <w:spacing w:after="0"/>
              <w:rPr>
                <w:sz w:val="13"/>
                <w:szCs w:val="13"/>
                <w:color w:val="auto"/>
              </w:rPr>
            </w:pPr>
          </w:p>
        </w:tc>
        <w:tc>
          <w:tcPr>
            <w:tcW w:w="6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u w:val="single" w:color="auto"/>
          <w:color w:val="auto"/>
        </w:rPr>
        <w:t>Section 1350 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80" w:right="6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of United Airlines Holdings, Inc. pursuant to</w:t>
            </w: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18 U.S.C. 1350 (Section 906 of the Sarbanes-Oxley Act of 2002)</w:t>
            </w:r>
          </w:p>
        </w:tc>
        <w:tc>
          <w:tcPr>
            <w:tcW w:w="37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of United Airlines, Inc. pursuant to 18 U.S.C.</w:t>
            </w: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1350 (Section 906 of the Sarbanes-Oxley Act of 2002)</w:t>
            </w:r>
          </w:p>
        </w:tc>
        <w:tc>
          <w:tcPr>
            <w:tcW w:w="454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5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Policy Relating to Recovery of Erroneously Awarded Compensation</w:t>
            </w: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9"/>
          </w:tcPr>
          <w:p>
            <w:pPr>
              <w:spacing w:after="0"/>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United Airlines Holdings, Inc. Compensation Clawback Policy (filed as Exhibit 97.1 to UAL's Form 10-K for the year</w:t>
              </w:r>
            </w:hyperlink>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5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ended December 31, 2023 and incorporated herein by reference)</w:t>
              </w:r>
            </w:hyperlink>
          </w:p>
        </w:tc>
        <w:tc>
          <w:tcPr>
            <w:tcW w:w="20" w:type="dxa"/>
            <w:vAlign w:val="bottom"/>
          </w:tcPr>
          <w:p>
            <w:pPr>
              <w:spacing w:after="0"/>
              <w:rPr>
                <w:sz w:val="13"/>
                <w:szCs w:val="13"/>
                <w:color w:val="auto"/>
              </w:rPr>
            </w:pPr>
          </w:p>
        </w:tc>
      </w:tr>
      <w:tr>
        <w:trPr>
          <w:trHeight w:val="480"/>
        </w:trPr>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Borders>
              <w:top w:val="single" w:sz="8" w:color="0000FF"/>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Interactive Data File</w:t>
            </w:r>
          </w:p>
        </w:tc>
        <w:tc>
          <w:tcPr>
            <w:tcW w:w="3040" w:type="dxa"/>
            <w:vAlign w:val="bottom"/>
            <w:tcBorders>
              <w:top w:val="single" w:sz="8" w:color="0000FF"/>
            </w:tcBorders>
            <w:gridSpan w:val="2"/>
          </w:tcPr>
          <w:p>
            <w:pPr>
              <w:spacing w:after="0"/>
              <w:rPr>
                <w:sz w:val="24"/>
                <w:szCs w:val="24"/>
                <w:color w:val="auto"/>
              </w:rPr>
            </w:pPr>
          </w:p>
        </w:tc>
        <w:tc>
          <w:tcPr>
            <w:tcW w:w="3900" w:type="dxa"/>
            <w:vAlign w:val="bottom"/>
            <w:gridSpan w:val="6"/>
          </w:tcPr>
          <w:p>
            <w:pPr>
              <w:spacing w:after="0"/>
              <w:rPr>
                <w:sz w:val="24"/>
                <w:szCs w:val="24"/>
                <w:color w:val="auto"/>
              </w:rPr>
            </w:pP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combined Annual Report of UAL and United on Form 10-K for the year</w:t>
            </w:r>
          </w:p>
        </w:tc>
      </w:tr>
      <w:tr>
        <w:trPr>
          <w:trHeight w:val="184"/>
        </w:trPr>
        <w:tc>
          <w:tcPr>
            <w:tcW w:w="780" w:type="dxa"/>
            <w:vAlign w:val="bottom"/>
          </w:tcPr>
          <w:p>
            <w:pPr>
              <w:spacing w:after="0"/>
              <w:rPr>
                <w:sz w:val="16"/>
                <w:szCs w:val="16"/>
                <w:color w:val="auto"/>
              </w:rPr>
            </w:pPr>
          </w:p>
        </w:tc>
        <w:tc>
          <w:tcPr>
            <w:tcW w:w="160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ended December 31, 2025, formatted in Inline XBRL: (i) Statements of Consolidated Operations, (ii) Statements of</w:t>
            </w:r>
          </w:p>
        </w:tc>
      </w:tr>
      <w:tr>
        <w:trPr>
          <w:trHeight w:val="180"/>
        </w:trPr>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54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Consolidated Comprehensive Income (Loss), (iii) Consolidated Balance Sheets, (iv) Statements of Consolidated Cash</w:t>
            </w:r>
          </w:p>
        </w:tc>
      </w:tr>
      <w:tr>
        <w:trPr>
          <w:trHeight w:val="176"/>
        </w:trPr>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5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Flows, (v) Statements of Consolidated Stockholders' Equity (Deficit) and (vi) Combined Notes to Consolidated</w:t>
            </w:r>
          </w:p>
        </w:tc>
      </w:tr>
      <w:tr>
        <w:trPr>
          <w:trHeight w:val="234"/>
        </w:trPr>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 tagged as blocks of text and including detailed tags.</w:t>
            </w:r>
          </w:p>
        </w:tc>
      </w:tr>
      <w:tr>
        <w:trPr>
          <w:trHeight w:val="4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34"/>
        </w:trPr>
        <w:tc>
          <w:tcPr>
            <w:tcW w:w="780" w:type="dxa"/>
            <w:vAlign w:val="bottom"/>
          </w:tcPr>
          <w:p>
            <w:pPr>
              <w:spacing w:after="0"/>
              <w:rPr>
                <w:sz w:val="20"/>
                <w:szCs w:val="20"/>
                <w:color w:val="auto"/>
              </w:rPr>
            </w:pP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w:t>
            </w:r>
          </w:p>
        </w:tc>
        <w:tc>
          <w:tcPr>
            <w:tcW w:w="1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384" w:lineRule="exact"/>
        <w:rPr>
          <w:sz w:val="20"/>
          <w:szCs w:val="20"/>
          <w:color w:val="auto"/>
        </w:rPr>
      </w:pPr>
    </w:p>
    <w:p>
      <w:pPr>
        <w:ind w:left="460" w:right="100" w:hanging="412"/>
        <w:spacing w:after="0" w:line="266" w:lineRule="auto"/>
        <w:tabs>
          <w:tab w:leader="none" w:pos="3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Pursuant to Item 601(b)(10), United is permitted to omit certain compensation-related exhibits from this report and therefore only UAL is identified as the registrant for purposes of those items.</w:t>
      </w:r>
    </w:p>
    <w:p>
      <w:pPr>
        <w:ind w:left="320" w:hanging="27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referenced exhibit have been omitted pursuant to Item 601(b) of Regulation S-K.</w:t>
      </w:r>
    </w:p>
    <w:p>
      <w:pPr>
        <w:spacing w:after="0" w:line="50" w:lineRule="exact"/>
        <w:rPr>
          <w:sz w:val="20"/>
          <w:szCs w:val="20"/>
          <w:color w:val="auto"/>
        </w:rPr>
      </w:pPr>
    </w:p>
    <w:p>
      <w:pPr>
        <w:ind w:left="460" w:hanging="412"/>
        <w:spacing w:after="0" w:line="282" w:lineRule="auto"/>
        <w:tabs>
          <w:tab w:leader="none" w:pos="3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and will be furnished on a supplemental basis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each registrant has duly caused this report to be signed on its behalf by the undersigned, thereunto duly authorized.</w:t>
      </w:r>
    </w:p>
    <w:p>
      <w:pPr>
        <w:spacing w:after="0" w:line="13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UNITED AIRLINES HOLDINGS, INC.</w:t>
      </w:r>
    </w:p>
    <w:p>
      <w:pPr>
        <w:ind w:left="5800"/>
        <w:spacing w:after="0" w:line="219" w:lineRule="auto"/>
        <w:rPr>
          <w:sz w:val="20"/>
          <w:szCs w:val="20"/>
          <w:color w:val="auto"/>
        </w:rPr>
      </w:pPr>
      <w:r>
        <w:rPr>
          <w:rFonts w:ascii="Times New Roman" w:cs="Times New Roman" w:eastAsia="Times New Roman" w:hAnsi="Times New Roman"/>
          <w:sz w:val="18"/>
          <w:szCs w:val="18"/>
          <w:color w:val="auto"/>
        </w:rPr>
        <w:t>UNITED AIRLINES, INC.</w:t>
      </w:r>
    </w:p>
    <w:p>
      <w:pPr>
        <w:ind w:left="5800"/>
        <w:spacing w:after="0"/>
        <w:rPr>
          <w:sz w:val="20"/>
          <w:szCs w:val="20"/>
          <w:color w:val="auto"/>
        </w:rPr>
      </w:pPr>
      <w:r>
        <w:rPr>
          <w:rFonts w:ascii="Times New Roman" w:cs="Times New Roman" w:eastAsia="Times New Roman" w:hAnsi="Times New Roman"/>
          <w:sz w:val="18"/>
          <w:szCs w:val="18"/>
          <w:color w:val="auto"/>
        </w:rPr>
        <w:t>(Registrants)</w:t>
      </w:r>
    </w:p>
    <w:p>
      <w:pPr>
        <w:spacing w:after="0" w:line="273"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118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7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88" w:lineRule="exact"/>
        <w:rPr>
          <w:sz w:val="20"/>
          <w:szCs w:val="20"/>
          <w:color w:val="auto"/>
        </w:rPr>
      </w:pPr>
    </w:p>
    <w:p>
      <w:pPr>
        <w:ind w:left="5140"/>
        <w:spacing w:after="0"/>
        <w:tabs>
          <w:tab w:leader="none" w:pos="5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12, 2026</w:t>
      </w:r>
    </w:p>
    <w:p>
      <w:pPr>
        <w:spacing w:after="0" w:line="200" w:lineRule="exact"/>
        <w:rPr>
          <w:sz w:val="20"/>
          <w:szCs w:val="20"/>
          <w:color w:val="auto"/>
        </w:rPr>
      </w:pPr>
    </w:p>
    <w:p>
      <w:pPr>
        <w:spacing w:after="0" w:line="3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United Airlines Holdings, Inc. and in the capacities and on the date indicated.</w:t>
      </w: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33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40462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71">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Scott Kirby</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Scott Kirby</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040" w:type="dxa"/>
            <w:vAlign w:val="bottom"/>
          </w:tcPr>
          <w:p>
            <w:pPr>
              <w:spacing w:after="0"/>
              <w:rPr>
                <w:sz w:val="24"/>
                <w:szCs w:val="24"/>
                <w:color w:val="auto"/>
              </w:rPr>
            </w:pP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Executive Vice President and Chief</w:t>
            </w:r>
          </w:p>
        </w:tc>
      </w:tr>
      <w:tr>
        <w:trPr>
          <w:trHeight w:val="24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02"/>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Brigitte Bokemeier</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Brigitte Bokemeier</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702"/>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Rosalind G. Brewer</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Rosalind G. Brewer</w:t>
            </w:r>
          </w:p>
        </w:tc>
        <w:tc>
          <w:tcPr>
            <w:tcW w:w="2860" w:type="dxa"/>
            <w:vAlign w:val="bottom"/>
          </w:tcPr>
          <w:p>
            <w:pPr>
              <w:spacing w:after="0"/>
              <w:rPr>
                <w:sz w:val="21"/>
                <w:szCs w:val="21"/>
                <w:color w:val="auto"/>
              </w:rPr>
            </w:pPr>
          </w:p>
        </w:tc>
      </w:tr>
      <w:tr>
        <w:trPr>
          <w:trHeight w:val="702"/>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Freyre</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Freyre</w:t>
            </w:r>
          </w:p>
        </w:tc>
        <w:tc>
          <w:tcPr>
            <w:tcW w:w="2860" w:type="dxa"/>
            <w:vAlign w:val="bottom"/>
          </w:tcPr>
          <w:p>
            <w:pPr>
              <w:spacing w:after="0"/>
              <w:rPr>
                <w:sz w:val="21"/>
                <w:szCs w:val="21"/>
                <w:color w:val="auto"/>
              </w:rPr>
            </w:pPr>
          </w:p>
        </w:tc>
      </w:tr>
      <w:tr>
        <w:trPr>
          <w:trHeight w:val="702"/>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Friend</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Friend</w:t>
            </w:r>
          </w:p>
        </w:tc>
        <w:tc>
          <w:tcPr>
            <w:tcW w:w="2860" w:type="dxa"/>
            <w:vAlign w:val="bottom"/>
          </w:tcPr>
          <w:p>
            <w:pPr>
              <w:spacing w:after="0"/>
              <w:rPr>
                <w:sz w:val="21"/>
                <w:szCs w:val="21"/>
                <w:color w:val="auto"/>
              </w:rPr>
            </w:pPr>
          </w:p>
        </w:tc>
      </w:tr>
      <w:tr>
        <w:trPr>
          <w:trHeight w:val="702"/>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Barney Harford</w:t>
            </w:r>
          </w:p>
        </w:tc>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Barney Harford</w:t>
            </w:r>
          </w:p>
        </w:tc>
        <w:tc>
          <w:tcPr>
            <w:tcW w:w="28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040"/>
          </w:cols>
          <w:pgMar w:left="320" w:top="18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80" w:right="5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Michele J. Hooper</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Michele J. Hooper</w:t>
            </w:r>
          </w:p>
        </w:tc>
        <w:tc>
          <w:tcPr>
            <w:tcW w:w="900" w:type="dxa"/>
            <w:vAlign w:val="bottom"/>
          </w:tcPr>
          <w:p>
            <w:pPr>
              <w:spacing w:after="0"/>
              <w:rPr>
                <w:sz w:val="21"/>
                <w:szCs w:val="21"/>
                <w:color w:val="auto"/>
              </w:rPr>
            </w:pPr>
          </w:p>
        </w:tc>
      </w:tr>
      <w:tr>
        <w:trPr>
          <w:trHeight w:val="70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Walter Isaacson</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Walter Isaacson</w:t>
            </w:r>
          </w:p>
        </w:tc>
        <w:tc>
          <w:tcPr>
            <w:tcW w:w="900" w:type="dxa"/>
            <w:vAlign w:val="bottom"/>
          </w:tcPr>
          <w:p>
            <w:pPr>
              <w:spacing w:after="0"/>
              <w:rPr>
                <w:sz w:val="21"/>
                <w:szCs w:val="21"/>
                <w:color w:val="auto"/>
              </w:rPr>
            </w:pPr>
          </w:p>
        </w:tc>
      </w:tr>
      <w:tr>
        <w:trPr>
          <w:trHeight w:val="70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Richard Johnsen</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Johnsen</w:t>
            </w:r>
          </w:p>
        </w:tc>
        <w:tc>
          <w:tcPr>
            <w:tcW w:w="900" w:type="dxa"/>
            <w:vAlign w:val="bottom"/>
          </w:tcPr>
          <w:p>
            <w:pPr>
              <w:spacing w:after="0"/>
              <w:rPr>
                <w:sz w:val="21"/>
                <w:szCs w:val="21"/>
                <w:color w:val="auto"/>
              </w:rPr>
            </w:pPr>
          </w:p>
        </w:tc>
      </w:tr>
      <w:tr>
        <w:trPr>
          <w:trHeight w:val="70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Brian Noyes</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Brian Noyes</w:t>
            </w:r>
          </w:p>
        </w:tc>
        <w:tc>
          <w:tcPr>
            <w:tcW w:w="900" w:type="dxa"/>
            <w:vAlign w:val="bottom"/>
          </w:tcPr>
          <w:p>
            <w:pPr>
              <w:spacing w:after="0"/>
              <w:rPr>
                <w:sz w:val="21"/>
                <w:szCs w:val="21"/>
                <w:color w:val="auto"/>
              </w:rPr>
            </w:pPr>
          </w:p>
        </w:tc>
      </w:tr>
      <w:tr>
        <w:trPr>
          <w:trHeight w:val="70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Edward M. Philip</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M. Philip</w:t>
            </w:r>
          </w:p>
        </w:tc>
        <w:tc>
          <w:tcPr>
            <w:tcW w:w="900" w:type="dxa"/>
            <w:vAlign w:val="bottom"/>
          </w:tcPr>
          <w:p>
            <w:pPr>
              <w:spacing w:after="0"/>
              <w:rPr>
                <w:sz w:val="21"/>
                <w:szCs w:val="21"/>
                <w:color w:val="auto"/>
              </w:rPr>
            </w:pPr>
          </w:p>
        </w:tc>
      </w:tr>
      <w:tr>
        <w:trPr>
          <w:trHeight w:val="70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Edward L. Shapiro</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L. Shapiro</w:t>
            </w:r>
          </w:p>
        </w:tc>
        <w:tc>
          <w:tcPr>
            <w:tcW w:w="900" w:type="dxa"/>
            <w:vAlign w:val="bottom"/>
          </w:tcPr>
          <w:p>
            <w:pPr>
              <w:spacing w:after="0"/>
              <w:rPr>
                <w:sz w:val="21"/>
                <w:szCs w:val="21"/>
                <w:color w:val="auto"/>
              </w:rPr>
            </w:pPr>
          </w:p>
        </w:tc>
      </w:tr>
      <w:tr>
        <w:trPr>
          <w:trHeight w:val="70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Laysha Ward</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Laysha Ward</w:t>
            </w:r>
          </w:p>
        </w:tc>
        <w:tc>
          <w:tcPr>
            <w:tcW w:w="900" w:type="dxa"/>
            <w:vAlign w:val="bottom"/>
          </w:tcPr>
          <w:p>
            <w:pPr>
              <w:spacing w:after="0"/>
              <w:rPr>
                <w:sz w:val="21"/>
                <w:szCs w:val="21"/>
                <w:color w:val="auto"/>
              </w:rPr>
            </w:pPr>
          </w:p>
        </w:tc>
      </w:tr>
      <w:tr>
        <w:trPr>
          <w:trHeight w:val="70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James M. Whitehurst</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M. Whitehurst</w:t>
            </w:r>
          </w:p>
        </w:tc>
        <w:tc>
          <w:tcPr>
            <w:tcW w:w="900" w:type="dxa"/>
            <w:vAlign w:val="bottom"/>
          </w:tcPr>
          <w:p>
            <w:pPr>
              <w:spacing w:after="0"/>
              <w:rPr>
                <w:sz w:val="21"/>
                <w:szCs w:val="21"/>
                <w:color w:val="auto"/>
              </w:rPr>
            </w:pPr>
          </w:p>
        </w:tc>
      </w:tr>
      <w:tr>
        <w:trPr>
          <w:trHeight w:val="86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12, 2026</w:t>
            </w: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80"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United Airlines, Inc. and in the capacities and on the date indicated.</w:t>
      </w:r>
    </w:p>
    <w:p>
      <w:pPr>
        <w:spacing w:after="0" w:line="270" w:lineRule="exact"/>
        <w:rPr>
          <w:sz w:val="20"/>
          <w:szCs w:val="20"/>
          <w:color w:val="auto"/>
        </w:rPr>
      </w:pPr>
    </w:p>
    <w:p>
      <w:pPr>
        <w:ind w:left="20"/>
        <w:spacing w:after="0"/>
        <w:tabs>
          <w:tab w:leader="none" w:pos="33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063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74">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 Scott Kirby</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Scott Kirby</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Executive Vice President and Chief</w:t>
            </w:r>
          </w:p>
        </w:tc>
      </w:tr>
      <w:tr>
        <w:trPr>
          <w:trHeight w:val="243"/>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Officer, 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0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Brigitte Bokemeier</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Brigitte Bokemeier</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70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Brett J. Hart</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Brett J. Hart</w:t>
            </w:r>
          </w:p>
        </w:tc>
        <w:tc>
          <w:tcPr>
            <w:tcW w:w="2900" w:type="dxa"/>
            <w:vAlign w:val="bottom"/>
          </w:tcPr>
          <w:p>
            <w:pPr>
              <w:spacing w:after="0"/>
              <w:rPr>
                <w:sz w:val="21"/>
                <w:szCs w:val="21"/>
                <w:color w:val="auto"/>
              </w:rPr>
            </w:pPr>
          </w:p>
        </w:tc>
      </w:tr>
      <w:tr>
        <w:trPr>
          <w:trHeight w:val="621"/>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12, 2026</w:t>
            </w:r>
          </w:p>
        </w:tc>
        <w:tc>
          <w:tcPr>
            <w:tcW w:w="2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720"/>
          </w:cols>
          <w:pgMar w:left="320" w:top="180" w:right="85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United Airlines Holdings, Inc. (“UAL,” “we,” “us” or “our”) has two classes of securities registered under Section 12 of the Securities Exchange Act of 1934, as amended (the “Exchange Act”): our common stock, par value $0.01 per share (“Common Stock”), and the rights (each, a “Right” and, collectively, the “Rights”) to purchase from UAL one one-thousandth of a share of Series A Junior Participating Serial Preferred Stock, without par value (“Series A Preferred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UAL is authorized to issue up to 1,000,000,000 shares of Common Stock and 250,000,000 shares of preferred stock, without par value (“Serial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UAL is also authorized to issue and has issued one share of Class Pilot MEC Junior Preferred Stock, par value $0.01 per share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Pilot MEC Junior Preferred Stock”), and one share of Class IAM Junior Preferred Stock, par value $0.01 per share (“Class IAM Junior Preferred Stock”).</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general terms and provisions of our Common Stock and Rights are summarized below. It may not contain all the information that is important to you. For additional information, you should refer to the provisions of our Amended and Restated Certificate of Incorporation, as amended (the “Certificate of Incorporation”), our Amended and Restated Bylaws (the “Bylaws”) and the Tax Benefits Preservation Plan, dated as of December 4, 2020 and as amended as of January 21, 2021, December 4, 2023 and April 22, 2024 (the “Tax Benefits Preservation Plan”), by and between UAL and Computershare Trust Company, N.A., as rights agent (and any successor agent, the “Rights Agent”), each of which is an exhibit to the Annual Report on Form 10-K to which this description is an exhibit and is incorporated herein by reference. Please also refer to the applicable provisions of the Delaware General Corporation Law (“DGCL”) for additional information.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“UAL.”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holders of shares of Common Stock will be entitled to receive dividends, if and when declared payable, from time to time by the UAL board of directors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 up of UAL, after all securities ranking prior to the Common Stock, including any shares of UAL’s Serial Preferred Stock, Class Pilot MEC Junior Preferred Stock and Class IAM Junior Preferred Stock, have been paid in full that to which they are entitled, the holders of the then outstanding shares of Common Stock will be entitled to receive, pro rata, the remaining assets of UAL available for distribution to its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outstanding share of Common Stock will entitle the holder thereof to one vote on each matter submitted to a vote at a meeting of stockholders. At meetings of stockholders, holders of Common Stock vote</w:t>
      </w:r>
    </w:p>
    <w:p>
      <w:pPr>
        <w:sectPr>
          <w:pgSz w:w="11900" w:h="16838" w:orient="portrait"/>
          <w:cols w:equalWidth="0" w:num="1">
            <w:col w:w="11240"/>
          </w:cols>
          <w:pgMar w:left="320" w:top="117" w:right="339" w:bottom="1440" w:gutter="0" w:footer="0" w:header="0"/>
        </w:sectPr>
      </w:pPr>
    </w:p>
    <w:bookmarkStart w:id="114" w:name="page115"/>
    <w:bookmarkEnd w:id="114"/>
    <w:p>
      <w:pPr>
        <w:jc w:val="both"/>
        <w:spacing w:after="0" w:line="255" w:lineRule="auto"/>
        <w:rPr>
          <w:sz w:val="20"/>
          <w:szCs w:val="20"/>
          <w:color w:val="auto"/>
        </w:rPr>
      </w:pPr>
      <w:r>
        <w:rPr>
          <w:rFonts w:ascii="Times New Roman" w:cs="Times New Roman" w:eastAsia="Times New Roman" w:hAnsi="Times New Roman"/>
          <w:sz w:val="18"/>
          <w:szCs w:val="18"/>
          <w:color w:val="auto"/>
        </w:rPr>
        <w:t>together as a single class with holders of UAL’s Class Pilot MEC Junior Preferred Stock and Class IAM Junior Preferred Stock on all matters except the election of directors to the Board. Except as otherwise required by the Certificate of Incorporation, each director shall be elected by vote of a majority of the votes cast with respect to that director’s election. However, if the number of director nominees exceeds the number of directors to be elected at any meeting of stockholders as of the date that is 10 days prior to the date UAL files its definitive proxy statement with the SEC, then each director shall be elected by a plurality of the votes cast and entitled to vote on the election of directors. The affirmative vote of holders of shares of UAL’s capital stock representing a majority of the votes present in person or by proxy at the meeting and entitled to be cast on the matter will be required to approve any other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Absence of Other Rights</w:t>
      </w:r>
    </w:p>
    <w:p>
      <w:pPr>
        <w:spacing w:after="0" w:line="2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Shares of Common Stock are not convertible into, or exchangeable for, any other class or series of capital stock. Holders of Common Stock have no preemptive or other rights to subscribe for or purchase additional securities of UAL. The Certificate of Incorporation contains no sinking fund provisions or redemption provisions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the Common Stock. Shares of Common Stock are not subject to calls or assessments. No personal liability will attach to holders under the laws of the State of Delaware (UAL’s state of incorporation) or of the State of Illinois (the state in which UAL’s principal place of business is located). There is no classification of the Board.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 PURCHASE RIGHTS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to Purchase Preferred Stock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Tax Benefits Preservation Plan, the Board declared a dividend of one Right to stockholders of record at the close of business on December 14, 2020 (the “Record Date”). Each Right entitles its holder, under the circumstances described below, to purchase from UAL one one-thousandth of a share of Series A Preferred Stock, at an exercise price of $200.00 per Right, subject to adjustment.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attach to any shares of Common Stock that were outstanding as of the Record Date or become outstanding after the Record Date and prior to the earlier of the Distribution Time (as defined below) and the Expiration Time (as defined below), and in certain other circumstances described in the Tax Benefits Preservation Plan.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Distribution Time, the Rights are associated with Common Stock and evidenced by Common Stock certificates or, in the case of uncertificated shares of Common Stock, the book-entry account that evidences record ownership of such shares, which contains a notation incorporating the Tax Benefits Preservation Plan by reference, and the Rights are transferable with and only with the underlying shares of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Distribution of Rights; Exercisability</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Rights become exercisable and trade separately from Common Stock only upon the “Distribution Time,” which occurs upon the earlier of:</w:t>
      </w:r>
    </w:p>
    <w:p>
      <w:pPr>
        <w:spacing w:after="0" w:line="229" w:lineRule="exact"/>
        <w:rPr>
          <w:sz w:val="20"/>
          <w:szCs w:val="20"/>
          <w:color w:val="auto"/>
        </w:rPr>
      </w:pPr>
    </w:p>
    <w:p>
      <w:pPr>
        <w:jc w:val="both"/>
        <w:ind w:left="660" w:hanging="328"/>
        <w:spacing w:after="0" w:line="243" w:lineRule="auto"/>
        <w:tabs>
          <w:tab w:leader="none" w:pos="65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close of business on the tenth (10th) day after the “Stock Acquisition Date” (which is defined as (a) the first date of public announcement that any person or group has become an “Acquiring Person,” which is defined as a person or group that, together with its affiliates and associates, beneficially owns 4.9% or more of the outstanding shares of Common Stock (with certain exceptions, including those described below) or (b) such other date, as determined by the Board, on which a person or group has become an Acquiring Person) or</w:t>
      </w:r>
    </w:p>
    <w:p>
      <w:pPr>
        <w:sectPr>
          <w:pgSz w:w="11900" w:h="16838" w:orient="portrait"/>
          <w:cols w:equalWidth="0" w:num="1">
            <w:col w:w="11240"/>
          </w:cols>
          <w:pgMar w:left="320" w:top="1417" w:right="339" w:bottom="1440" w:gutter="0" w:footer="0" w:header="0"/>
        </w:sectPr>
      </w:pPr>
    </w:p>
    <w:bookmarkStart w:id="115" w:name="page116"/>
    <w:bookmarkEnd w:id="115"/>
    <w:p>
      <w:pPr>
        <w:spacing w:after="0" w:line="18" w:lineRule="exact"/>
        <w:rPr>
          <w:sz w:val="20"/>
          <w:szCs w:val="20"/>
          <w:color w:val="auto"/>
        </w:rPr>
      </w:pPr>
    </w:p>
    <w:p>
      <w:pPr>
        <w:jc w:val="both"/>
        <w:ind w:left="760" w:right="20" w:hanging="328"/>
        <w:spacing w:after="0" w:line="239" w:lineRule="auto"/>
        <w:tabs>
          <w:tab w:leader="none" w:pos="75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227" w:lineRule="exact"/>
        <w:rPr>
          <w:sz w:val="20"/>
          <w:szCs w:val="20"/>
          <w:color w:val="auto"/>
        </w:rPr>
      </w:pPr>
    </w:p>
    <w:p>
      <w:pPr>
        <w:ind w:left="100"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may determine that any person is an Acquiring Person if such person becomes the beneficial owner of 4.9% of the then-outstanding shares of Common Stock under the regulations promulgated under the Internal Revenue Code of 1986, as amended (the “Code”).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 Acquiring Person does not include: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 or any subsidiary of UAL;</w:t>
      </w:r>
    </w:p>
    <w:p>
      <w:pPr>
        <w:spacing w:after="0" w:line="274" w:lineRule="exact"/>
        <w:rPr>
          <w:sz w:val="20"/>
          <w:szCs w:val="20"/>
          <w:color w:val="auto"/>
        </w:rPr>
      </w:pPr>
    </w:p>
    <w:p>
      <w:pPr>
        <w:ind w:left="760" w:hanging="328"/>
        <w:spacing w:after="0"/>
        <w:tabs>
          <w:tab w:leader="none" w:pos="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officer, director or employee of UAL or any subsidiary of UAL in his or her capacity as such;</w:t>
      </w:r>
    </w:p>
    <w:p>
      <w:pPr>
        <w:spacing w:after="0" w:line="265" w:lineRule="exact"/>
        <w:rPr>
          <w:rFonts w:ascii="Times New Roman" w:cs="Times New Roman" w:eastAsia="Times New Roman" w:hAnsi="Times New Roman"/>
          <w:sz w:val="22"/>
          <w:szCs w:val="22"/>
          <w:color w:val="auto"/>
        </w:rPr>
      </w:pPr>
    </w:p>
    <w:p>
      <w:pPr>
        <w:jc w:val="both"/>
        <w:ind w:left="760" w:hanging="328"/>
        <w:spacing w:after="0" w:line="246" w:lineRule="auto"/>
        <w:tabs>
          <w:tab w:leader="none" w:pos="75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employee benefit plan of UAL or of any subsidiary of UAL or any entity or trustee holding (or acting in a fiduciary capacity in respect of) shares of capital stock of UAL for or pursuant to the terms of any such plan or for the purpose of funding other employee benefits for employees of UAL or any subsidiary of UAL;</w:t>
      </w:r>
    </w:p>
    <w:p>
      <w:pPr>
        <w:spacing w:after="0" w:line="261" w:lineRule="exact"/>
        <w:rPr>
          <w:rFonts w:ascii="Times New Roman" w:cs="Times New Roman" w:eastAsia="Times New Roman" w:hAnsi="Times New Roman"/>
          <w:sz w:val="22"/>
          <w:szCs w:val="22"/>
          <w:color w:val="auto"/>
        </w:rPr>
      </w:pPr>
    </w:p>
    <w:p>
      <w:pPr>
        <w:jc w:val="both"/>
        <w:ind w:left="760" w:hanging="328"/>
        <w:spacing w:after="0" w:line="243" w:lineRule="auto"/>
        <w:tabs>
          <w:tab w:leader="none" w:pos="75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person or group, together with its affiliates and associates, whose beneficial ownership of 4.9% or more of the then-outstanding shares of Common Stock will not jeopardize or endanger the availability to UAL of any net operating loss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w:t>
      </w:r>
    </w:p>
    <w:p>
      <w:pPr>
        <w:spacing w:after="0" w:line="262" w:lineRule="exact"/>
        <w:rPr>
          <w:rFonts w:ascii="Times New Roman" w:cs="Times New Roman" w:eastAsia="Times New Roman" w:hAnsi="Times New Roman"/>
          <w:sz w:val="22"/>
          <w:szCs w:val="22"/>
          <w:color w:val="auto"/>
        </w:rPr>
      </w:pPr>
    </w:p>
    <w:p>
      <w:pPr>
        <w:jc w:val="both"/>
        <w:ind w:left="760" w:hanging="328"/>
        <w:spacing w:after="0" w:line="244" w:lineRule="auto"/>
        <w:tabs>
          <w:tab w:leader="none" w:pos="75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person or group that, together with its affiliates and associates, as of immediately prior to the first public announcement of the adoption of the Tax Benefits Preservation Plan, beneficially owns 4.9% or more of the outstanding shares of Common Stock so long as such person or group continues to beneficially own at least 4.9% of the outstanding shares of Common Stock and does not acquire shares of Common Stock to beneficially own an amount equal to or greater than the greater of 4.9% and the sum of the lowest beneficial ownership of such person or group since the public announcement of the adoption of the Tax Benefits Preservation Plan plus one share of Common Stock.</w:t>
      </w:r>
    </w:p>
    <w:p>
      <w:pPr>
        <w:spacing w:after="0" w:line="224" w:lineRule="exact"/>
        <w:rPr>
          <w:sz w:val="20"/>
          <w:szCs w:val="20"/>
          <w:color w:val="auto"/>
        </w:rPr>
      </w:pPr>
    </w:p>
    <w:p>
      <w:pPr>
        <w:jc w:val="both"/>
        <w:ind w:left="100" w:firstLine="648"/>
        <w:spacing w:after="0" w:line="255" w:lineRule="auto"/>
        <w:rPr>
          <w:sz w:val="20"/>
          <w:szCs w:val="20"/>
          <w:color w:val="auto"/>
        </w:rPr>
      </w:pPr>
      <w:r>
        <w:rPr>
          <w:rFonts w:ascii="Times New Roman" w:cs="Times New Roman" w:eastAsia="Times New Roman" w:hAnsi="Times New Roman"/>
          <w:sz w:val="18"/>
          <w:szCs w:val="18"/>
          <w:color w:val="auto"/>
        </w:rPr>
        <w:t>In addition, the Tax Benefits Preservation Plan provides that no person or group will become an Acquiring Person as a result of share purchases or issuances directly from UAL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Common Stock then outstanding under specified regulations promulgated under the Code.</w:t>
      </w:r>
    </w:p>
    <w:p>
      <w:pPr>
        <w:spacing w:after="0" w:line="216" w:lineRule="exact"/>
        <w:rPr>
          <w:sz w:val="20"/>
          <w:szCs w:val="20"/>
          <w:color w:val="auto"/>
        </w:rPr>
      </w:pPr>
    </w:p>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Tax Benefits Preservation Plan, a person or group is deemed to beneficially own shares that (a) such person or group is deemed to directly, indirectly or constructively own (as determined for purposes of Section 382 of the Code or the regulations promulgated under the Code), (b) such person or group directly or</w:t>
      </w:r>
    </w:p>
    <w:p>
      <w:pPr>
        <w:sectPr>
          <w:pgSz w:w="11900" w:h="16838" w:orient="portrait"/>
          <w:cols w:equalWidth="0" w:num="1">
            <w:col w:w="11340"/>
          </w:cols>
          <w:pgMar w:left="220" w:top="1440" w:right="339" w:bottom="1440" w:gutter="0" w:footer="0" w:header="0"/>
        </w:sectPr>
      </w:pPr>
    </w:p>
    <w:bookmarkStart w:id="116" w:name="page117"/>
    <w:bookmarkEnd w:id="116"/>
    <w:p>
      <w:pPr>
        <w:jc w:val="both"/>
        <w:spacing w:after="0" w:line="261" w:lineRule="auto"/>
        <w:rPr>
          <w:sz w:val="20"/>
          <w:szCs w:val="20"/>
          <w:color w:val="auto"/>
        </w:rPr>
      </w:pPr>
      <w:r>
        <w:rPr>
          <w:rFonts w:ascii="Times New Roman" w:cs="Times New Roman" w:eastAsia="Times New Roman" w:hAnsi="Times New Roman"/>
          <w:sz w:val="18"/>
          <w:szCs w:val="18"/>
          <w:color w:val="auto"/>
        </w:rPr>
        <w:t>indirectly beneficially owns (as determined pursuant to Rule 13d-3 of the Exchange Act) or (c) are directly or indirectly beneficially owned (as described in clause (a) or (b) above) by any other person or group with which such person or group has any agreement, arrangement or understanding but only if the effect of such agreement, arrangement or understanding is to treat such persons as an “entity” under specified regulations promulgated under the Code (and with certain exceptions specified in the Tax Benefits Preservation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Time</w:t>
      </w:r>
    </w:p>
    <w:p>
      <w:pPr>
        <w:spacing w:after="0" w:line="2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Rights will expire on the earliest to occur of (a) the close of business on December 4, 2026 (the “Final Expiration Time”), (b) the time at which the Rights are redeemed or exchanged by UAL (as described below), (c) upon the closing of any merger or other acquisition transaction involving UAL pursuant to a merger or other acquisition agreement that has been approved by the Board before any person or group becomes an Acquiring Person or</w:t>
      </w:r>
    </w:p>
    <w:p>
      <w:pPr>
        <w:spacing w:after="0" w:line="1" w:lineRule="exact"/>
        <w:rPr>
          <w:sz w:val="20"/>
          <w:szCs w:val="20"/>
          <w:color w:val="auto"/>
        </w:rPr>
      </w:pPr>
    </w:p>
    <w:p>
      <w:pPr>
        <w:jc w:val="both"/>
        <w:ind w:firstLine="8"/>
        <w:spacing w:after="0" w:line="253"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at which the Board determines that the NOLs and certain other tax attributes are utilized in all material respects or that an ownership change under Section 382 of the Code would not adversely impact in any material respect the time period in which UAL could use the NOLs and other tax attributes or materially impair the amount of NOLs and other tax attributes that could be used by UAL in any particular time period, for applicable tax purposes (the earliest of (a), (b), (c) and (d) being herein referred to as the “Expiration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Flip-in Event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person or group (other than certain exempt persons) becomes an Acquiring Person (a “Flip-in Event”), 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example, at an exercise price of $200.00 per Right, each Right not owned by an Acquiring Person (or by certain related parties) following a Flip-in Event would entitle its holder to purchase $400.00 worth of Common Stock for $200.00. Assuming that Common Stock had a per share value of $50.00 at that time, the holder of each valid Right would be entitled to purchase eight shares of Common Stock for $200.00.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Flip-over Event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that, at any time following the Stock Acquisition Date, any of the following occurs (each, a “Flip-over Event”):</w:t>
      </w:r>
    </w:p>
    <w:p>
      <w:pPr>
        <w:spacing w:after="0" w:line="27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UAL consolidates with, or merges with and into, any other entity, and UAL is not the continuing or surviving entity;</w:t>
      </w:r>
    </w:p>
    <w:p>
      <w:pPr>
        <w:spacing w:after="0" w:line="265"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5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entity engages in a share exchange with or consolidates with, or merges with or into, UAL, and UAL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24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UAL sells or otherwise transfers, in one transaction or a series of related transactions, 50% or more of UAL’s assets, cash flow or earning power,</w:t>
      </w:r>
    </w:p>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ectPr>
          <w:pgSz w:w="11900" w:h="16838" w:orient="portrait"/>
          <w:cols w:equalWidth="0" w:num="1">
            <w:col w:w="11240"/>
          </w:cols>
          <w:pgMar w:left="320" w:top="1417" w:right="339" w:bottom="1440" w:gutter="0" w:footer="0" w:header="0"/>
        </w:sectPr>
      </w:pPr>
    </w:p>
    <w:bookmarkStart w:id="117" w:name="page118"/>
    <w:bookmarkEnd w:id="117"/>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 Provisions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if issued: will not be redeemable, will entitle the holder thereof, when, as and if declared, to quarterly dividend payments equal to the greater of $1,000 per share and 1,000 times the amount of all cash dividends plus 1,000 times the amount of non-cash dividends or other distributions paid on one share of Common Stock, will entitle the holder thereof to receive $1,000 plus accrued and unpaid dividends per share upon liquidation and, if shares of Common Stock are exchanged via merger, consolidation or a similar transaction, will entitle the holder thereof to a per share payment equal to the payment made on 1,000 shares of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Adjustments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exercise price payable, and the number of shares of Series A Preferred Stock or other securities or property issuable, upon exercise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are subject to adjustment from time to time to prevent dilution:</w:t>
      </w:r>
    </w:p>
    <w:p>
      <w:pPr>
        <w:spacing w:after="0" w:line="25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event of a stock dividend on, or a subdivision, combination or reclassification of, the Series A Preferred Stock,</w:t>
      </w:r>
    </w:p>
    <w:p>
      <w:pPr>
        <w:spacing w:after="0" w:line="265"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holders of the Series A Preferred Stock are granted certain rights, options or warrants to subscribe for Series A Preferred Stock or convertible securities at less than the current market price of the Series A Preferred Stock or</w:t>
      </w:r>
    </w:p>
    <w:p>
      <w:pPr>
        <w:spacing w:after="0" w:line="267" w:lineRule="exact"/>
        <w:rPr>
          <w:rFonts w:ascii="Times New Roman" w:cs="Times New Roman" w:eastAsia="Times New Roman" w:hAnsi="Times New Roman"/>
          <w:sz w:val="22"/>
          <w:szCs w:val="22"/>
          <w:color w:val="auto"/>
        </w:rPr>
      </w:pPr>
    </w:p>
    <w:p>
      <w:pPr>
        <w:ind w:left="660" w:hanging="328"/>
        <w:spacing w:after="0" w:line="244" w:lineRule="auto"/>
        <w:tabs>
          <w:tab w:leader="none" w:pos="65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the distribution to holders of the Series A Preferred Stock of evidences of indebtedness or assets (excluding regular quarterly cash dividends) or of subscription rights or warrants (other than those referred to above).</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certain exceptions, no adjustment in the exercise price will be required until cumulative adjustments amount to at least 1% of the exercise price. No fractional shares of Series A Preferred Stock will be issued and, in lieu thereof, an adjustment in cash will be made based on the market price of the Series A Preferred Stock on the last trading day prior to the date of exercise.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Exchange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prior to the earlier of (i) the close of business on the tenth (10th) day following the Stock Acquisition Date or (ii) the Final Expiration Time, UAL may redeem the Rights in whole, but not in part, at a price of $0.001 per Right (subject to adjustment and payable in cash,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after any Acquiring Person, together with all of its affiliates and associates, becomes the beneficial owner of fifty percent (50%) or more of the outstanding shares of Common Stock, UAL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one-thousandth of a share of Series A Preferred Stock (or of a share of a class or series of Serial Preferred Stock having equivalent rights, preferences and privileges), per Right (subject to adjustment).</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Exemption Requests</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person desiring to effect a transaction that might result in such person becoming a beneficial owner of 4.9% or more of the then-outstanding shares of Common Stock may, by following the procedures outlined in the Tax Benefits Preservation Plan, request that the Board determine that such person would not be an Acquiring Person. In such case, the Board may grant the exemption notwithstanding the effect on UAL’s NOLs and other tax attributes, if the Board determines that such approval is in the best interests of UAL. The Board may impose any conditions that it deems reasonable and appropriate in connection with any such determination, including restrictions on the ability of the requesting person to transfer shares acquired by it in the transaction requiring approval.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Tax Benefits Preservation Plan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UAL and the Rights Agent may from time to time amend or supplement the Tax Benefits Preservation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distribution of the Rights is not taxable to stockholders or to UAL, stockholders may, depending upon the circumstances, recognize taxable income in the event that the Rights become exercisable for Common Stock (or other consideration) or for common stock of the acquiring company or in the event of the redemption of the Rights as described above.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FOREIGN OWNERSHIP LIMITATION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limits the total number of shares of equity securities held by all persons who fail to qualify as citizens of the United States to having no more than 24.9% of the voting power of all outstanding equity securities of UAL.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ANTI-TAKEOVER EFFECTS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Certain provisions of our Certificate of Incorporation, our Bylaws, the Tax Benefits Preservation Plan and the DGCL could make it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 to consummate an acquisition of control of us by means of a tender offer, a proxy fight, open market purchases or otherwise in a transaction not approved by our Board. The summary of the provisions set forth below does not purport to be complete and is qualified in its entirety by reference to our Certificate of Incorporation, our Bylaws, the Tax Benefits Preservation Plan and the DGCL.</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Our ability to issue undesignated Serial Preferred Stock makes it possible for the Board to issue Serial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super voting, dividend or other special rights or preferences on a discriminatory basis that could impede the success of any attempt to acquire UAL. This may have the effect of deferring, delaying or discouraging hostile takeovers, or changes in control or management of UAL.</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No Stockholder Action by Written Consent</w:t>
      </w:r>
      <w:r>
        <w:rPr>
          <w:rFonts w:ascii="Times New Roman" w:cs="Times New Roman" w:eastAsia="Times New Roman" w:hAnsi="Times New Roman"/>
          <w:sz w:val="18"/>
          <w:szCs w:val="18"/>
          <w:color w:val="auto"/>
        </w:rPr>
        <w:t>. The Certificate of Incorporation provides that any action required or permitted to be taken by 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must be effected at a duly called annual or special meeting of stockholders and may not be effected by consent in writing by such stockholders.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Limitations on Stockholder Rights to Call Special Meetings. </w:t>
      </w:r>
      <w:r>
        <w:rPr>
          <w:rFonts w:ascii="Times New Roman" w:cs="Times New Roman" w:eastAsia="Times New Roman" w:hAnsi="Times New Roman"/>
          <w:sz w:val="18"/>
          <w:szCs w:val="18"/>
          <w:color w:val="auto"/>
        </w:rPr>
        <w:t>The Bylaws provide that special meetings of the stockholders may be called only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both the Chief Executive Officer and the Chairperson of the Board, (ii) by the Board or (iii) subject to certain requirements set forth in the Bylaws, by the Secretary, upon the written request of one or more stockholders of record of UAL that together have continuously held, for their own account or on</w:t>
      </w:r>
    </w:p>
    <w:p>
      <w:pPr>
        <w:sectPr>
          <w:pgSz w:w="11900" w:h="16838" w:orient="portrait"/>
          <w:cols w:equalWidth="0" w:num="1">
            <w:col w:w="11240"/>
          </w:cols>
          <w:pgMar w:left="320" w:top="1440" w:right="339" w:bottom="1440" w:gutter="0" w:footer="0" w:header="0"/>
        </w:sectPr>
      </w:pPr>
    </w:p>
    <w:bookmarkStart w:id="119" w:name="page120"/>
    <w:bookmarkEnd w:id="119"/>
    <w:p>
      <w:pPr>
        <w:jc w:val="both"/>
        <w:spacing w:after="0" w:line="282" w:lineRule="auto"/>
        <w:rPr>
          <w:sz w:val="20"/>
          <w:szCs w:val="20"/>
          <w:color w:val="auto"/>
        </w:rPr>
      </w:pPr>
      <w:r>
        <w:rPr>
          <w:rFonts w:ascii="Times New Roman" w:cs="Times New Roman" w:eastAsia="Times New Roman" w:hAnsi="Times New Roman"/>
          <w:sz w:val="18"/>
          <w:szCs w:val="18"/>
          <w:color w:val="auto"/>
        </w:rPr>
        <w:t>behalf of others, beneficial ownership of at least a 25% aggregate “net long position” (as defined in the Bylaws) of the outstanding shares of Common Stock for at least one year prior to the date such request is delivered to UAL.</w:t>
      </w:r>
    </w:p>
    <w:p>
      <w:pPr>
        <w:spacing w:after="0" w:line="187" w:lineRule="exact"/>
        <w:rPr>
          <w:sz w:val="20"/>
          <w:szCs w:val="20"/>
          <w:color w:val="auto"/>
        </w:rPr>
      </w:pPr>
    </w:p>
    <w:p>
      <w:pPr>
        <w:jc w:val="both"/>
        <w:ind w:firstLine="715"/>
        <w:spacing w:after="0" w:line="253"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Meetings, Nominations and Proposals; Meeting Procedures</w:t>
      </w:r>
      <w:r>
        <w:rPr>
          <w:rFonts w:ascii="Times New Roman" w:cs="Times New Roman" w:eastAsia="Times New Roman" w:hAnsi="Times New Roman"/>
          <w:sz w:val="18"/>
          <w:szCs w:val="18"/>
          <w:color w:val="auto"/>
        </w:rPr>
        <w:t>. The Bylaws establish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procedures with respect to stockholder proposals for annual meetings and the nomination of candidates for election as directors to the Board (other than nominations pursuant to the terms of the Class Pilot MEC Junior Preferred Stock, the Class IAM Junior Preferred Stock or nominations made by or at the direction of the Board or a committee of the Board). In order for any matter to be “properly brought” before a meeting, a stockholder will have to comply with advance notice requirements and provide UAL with certain information. Under the Bylaws, the Board may also adopt rules, regulations and procedures for the conduct of stockholder meetings as the Board deems appropriate, and except to the extent inconsistent with such rules, regulations and procedures adopted by the Board, the person presiding at any meeting of stockholders has the right</w:t>
      </w:r>
    </w:p>
    <w:p>
      <w:pPr>
        <w:spacing w:after="0" w:line="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and authority to convene and (for any or no reason) to recess or adjourn the meeting, to prescribe such rules, regulations and procedures and to do all such acts as, in the judgment of such person, are necessary, appropriate or convenient for the proper conduct of the meeting, which may have the effect of precluding the conduct of certain business at a meeting if the rules and regulations are not followed. These procedures and provisions may deter, delay or discourage a potential acquiror from conducting a solicitation of proxies to elect the acquiror’s own slate of directors or otherwise attempting to obtain control of UAL.</w:t>
      </w:r>
    </w:p>
    <w:p>
      <w:pPr>
        <w:spacing w:after="0" w:line="212" w:lineRule="exact"/>
        <w:rPr>
          <w:sz w:val="20"/>
          <w:szCs w:val="20"/>
          <w:color w:val="auto"/>
        </w:rPr>
      </w:pPr>
    </w:p>
    <w:p>
      <w:pPr>
        <w:jc w:val="both"/>
        <w:ind w:firstLine="715"/>
        <w:spacing w:after="0" w:line="267" w:lineRule="auto"/>
        <w:rPr>
          <w:sz w:val="20"/>
          <w:szCs w:val="20"/>
          <w:color w:val="auto"/>
        </w:rPr>
      </w:pPr>
      <w:r>
        <w:rPr>
          <w:rFonts w:ascii="Times New Roman" w:cs="Times New Roman" w:eastAsia="Times New Roman" w:hAnsi="Times New Roman"/>
          <w:sz w:val="18"/>
          <w:szCs w:val="18"/>
          <w:i w:val="1"/>
          <w:iCs w:val="1"/>
          <w:color w:val="auto"/>
        </w:rPr>
        <w:t>No Stockholder Filling of Vacancies</w:t>
      </w:r>
      <w:r>
        <w:rPr>
          <w:rFonts w:ascii="Times New Roman" w:cs="Times New Roman" w:eastAsia="Times New Roman" w:hAnsi="Times New Roman"/>
          <w:sz w:val="18"/>
          <w:szCs w:val="18"/>
          <w:color w:val="auto"/>
        </w:rPr>
        <w:t>. Board vacancies and newly created directorships may only be filled by a vote of a majority of the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in office, even if less than a quorum, or by a sole remaining director. Thus, even if stockholders remove a director from office, the vacancy created by such removal may only be filled by the Board.</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We are subject to the provisions of Section 203 of the DGCL regulating corporate takeovers. Section 203 prevents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from engaging, under certain circumstances, in a “business combination” (as defined therein), which includes, among other things, a merger or sale of more than 10% of the corporation’s assets, with any interested stockholder for three years following the date that the stockholder became an interested stockholder. An interested stockholder is a stockholder who acquired 15% or more of the corporation’s outstanding voting stock or an affiliate or associate of such person.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Tax Benefits Preservation Plan</w:t>
      </w:r>
      <w:r>
        <w:rPr>
          <w:rFonts w:ascii="Times New Roman" w:cs="Times New Roman" w:eastAsia="Times New Roman" w:hAnsi="Times New Roman"/>
          <w:sz w:val="18"/>
          <w:szCs w:val="18"/>
          <w:color w:val="auto"/>
        </w:rPr>
        <w:t>. The Tax Benefits Preservation Plan could have certain anti-takeover effects because the Rights provided to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under the Tax Benefits Preservation Plan will cause substantial dilution to an Acquiring Person. While the Tax Benefits Preservation Plan is intended to preserve our current ability to utilize NOLs and certain other tax attributes, it effectively deters current and future purchasers from accumulating more than 4.9% of UAL’s securities, which could delay or discourage attempts that our stockholders may consider favorable. The Tax Benefits Preservation Plan should not interfere with any merger or other business combination approved by the Board.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Bylaws provide that, unless a majority of the Board, acting on behalf of UAL, consents in writing to the selection of an alternative forum, (a) the Court of Chancery of the State of Delaware will, to the fullest extent permitted by law, be the exclusive forum for: (i) any derivative action or proceeding brought on behalf of UAL, (ii) any action asserting a claim of breach of a fiduciary duty owed by any current or former director, officer or other employee of UAL to UAL or UAL’s stockholders, (iii) any action asserting a claim against UAL or any of its current or former directors, officers or other employees arising pursuant to any provision of the DGCL, the Bylaws or the Certificate of Incorporation (in each case, as may be amended from time to time), (iv) any action asserting a claim against UAL or any of its current or former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and (b) the federal district courts of the United States of America will, to the fullest extent permitted by law, be the exclusive forum for the resolution of any action asserting a cause of action arising</w:t>
      </w:r>
    </w:p>
    <w:p>
      <w:pPr>
        <w:sectPr>
          <w:pgSz w:w="11900" w:h="16838" w:orient="portrait"/>
          <w:cols w:equalWidth="0" w:num="1">
            <w:col w:w="11240"/>
          </w:cols>
          <w:pgMar w:left="320" w:top="1417" w:right="339" w:bottom="1440" w:gutter="0" w:footer="0" w:header="0"/>
        </w:sectPr>
      </w:pPr>
    </w:p>
    <w:bookmarkStart w:id="120" w:name="page121"/>
    <w:bookmarkEnd w:id="120"/>
    <w:p>
      <w:pPr>
        <w:jc w:val="both"/>
        <w:spacing w:after="0" w:line="258" w:lineRule="auto"/>
        <w:rPr>
          <w:sz w:val="20"/>
          <w:szCs w:val="20"/>
          <w:color w:val="auto"/>
        </w:rPr>
      </w:pPr>
      <w:r>
        <w:rPr>
          <w:rFonts w:ascii="Times New Roman" w:cs="Times New Roman" w:eastAsia="Times New Roman" w:hAnsi="Times New Roman"/>
          <w:sz w:val="18"/>
          <w:szCs w:val="18"/>
          <w:color w:val="auto"/>
        </w:rPr>
        <w:t>under the Securities Act of 1933, as amended. However, it is possible that a court could find UAL’s forum selection provision to be inapplicable or unenforceable. Furthermore, because the applicability of the exclusive forum provision is limited to the extent permitted by law, UAL does not intend that the exclusive forum provision described in clause (a) above would apply to suits brought to enforce any duty or liability created by the Exchange Act or any other claim for which the federal courts have exclusive jurisdiction. Stockholders cannot waive compliance with the federal securities laws and the rules and regulations thereunder.</w:t>
      </w:r>
    </w:p>
    <w:p>
      <w:pPr>
        <w:sectPr>
          <w:pgSz w:w="11900" w:h="16838" w:orient="portrait"/>
          <w:cols w:equalWidth="0" w:num="1">
            <w:col w:w="11240"/>
          </w:cols>
          <w:pgMar w:left="320" w:top="1417" w:right="339" w:bottom="1440" w:gutter="0" w:footer="0" w:header="0"/>
        </w:sectPr>
      </w:pPr>
    </w:p>
    <w:bookmarkStart w:id="121" w:name="page122"/>
    <w:bookmarkEnd w:id="121"/>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AIRLINES HOLDINGS,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PROFIT SHARING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January 1, 2025,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Except As Otherwise Provided Herein)</w:t>
      </w:r>
    </w:p>
    <w:p>
      <w:pPr>
        <w:spacing w:after="0" w:line="165" w:lineRule="exact"/>
        <w:rPr>
          <w:sz w:val="20"/>
          <w:szCs w:val="20"/>
          <w:color w:val="auto"/>
        </w:rPr>
      </w:pPr>
    </w:p>
    <w:p>
      <w:pPr>
        <w:ind w:left="5240" w:hanging="631"/>
        <w:spacing w:after="0"/>
        <w:tabs>
          <w:tab w:leader="none" w:pos="5240"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w:t>
      </w:r>
    </w:p>
    <w:p>
      <w:pPr>
        <w:spacing w:after="0" w:line="206" w:lineRule="exact"/>
        <w:rPr>
          <w:rFonts w:ascii="Times New Roman" w:cs="Times New Roman" w:eastAsia="Times New Roman" w:hAnsi="Times New Roman"/>
          <w:sz w:val="22"/>
          <w:szCs w:val="22"/>
          <w:b w:val="1"/>
          <w:bCs w:val="1"/>
          <w:color w:val="auto"/>
        </w:rPr>
      </w:pPr>
    </w:p>
    <w:p>
      <w:pPr>
        <w:ind w:left="660" w:hanging="652"/>
        <w:spacing w:after="0" w:line="238" w:lineRule="auto"/>
        <w:tabs>
          <w:tab w:leader="none" w:pos="65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Purpose. </w:t>
      </w:r>
      <w:r>
        <w:rPr>
          <w:rFonts w:ascii="Times New Roman" w:cs="Times New Roman" w:eastAsia="Times New Roman" w:hAnsi="Times New Roman"/>
          <w:sz w:val="22"/>
          <w:szCs w:val="22"/>
          <w:color w:val="auto"/>
        </w:rPr>
        <w:t>United Airlines Holdings, Inc. (the “Company”) sponsors this United Airlines Holdings, Inc. Profit Sharing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“Plan”) for the benefit of certain employees of United Airlines, Inc. and other participating Affiliates.</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8" w:lineRule="auto"/>
        <w:tabs>
          <w:tab w:leader="none" w:pos="65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Collective Bargaining. </w:t>
      </w:r>
      <w:r>
        <w:rPr>
          <w:rFonts w:ascii="Times New Roman" w:cs="Times New Roman" w:eastAsia="Times New Roman" w:hAnsi="Times New Roman"/>
          <w:sz w:val="21"/>
          <w:szCs w:val="21"/>
          <w:color w:val="auto"/>
        </w:rPr>
        <w:t>As it relates to Qualified Employees who are in the class or craft of employees covered by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collective bargaining agreement with the Employer pursuant to which the Employer has agreed to provide such Qualified Employees with participation in a profit sharing bonus plan, this Plan is maintained pursuant to such agreement.</w:t>
      </w:r>
    </w:p>
    <w:p>
      <w:pPr>
        <w:spacing w:after="0" w:line="172" w:lineRule="exact"/>
        <w:rPr>
          <w:rFonts w:ascii="Times New Roman" w:cs="Times New Roman" w:eastAsia="Times New Roman" w:hAnsi="Times New Roman"/>
          <w:sz w:val="21"/>
          <w:szCs w:val="21"/>
          <w:color w:val="auto"/>
        </w:rPr>
      </w:pPr>
    </w:p>
    <w:p>
      <w:pPr>
        <w:jc w:val="both"/>
        <w:ind w:left="660" w:hanging="652"/>
        <w:spacing w:after="0" w:line="212" w:lineRule="auto"/>
        <w:tabs>
          <w:tab w:leader="none" w:pos="65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Cash Bonus Plan. </w:t>
      </w:r>
      <w:r>
        <w:rPr>
          <w:rFonts w:ascii="Times New Roman" w:cs="Times New Roman" w:eastAsia="Times New Roman" w:hAnsi="Times New Roman"/>
          <w:sz w:val="22"/>
          <w:szCs w:val="22"/>
          <w:color w:val="auto"/>
        </w:rPr>
        <w:t>The Plan is a cash bonus plan and is not intended to be (and will not be construed or administered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employee benefit plan within the meaning of ERISA. The Plan is intended to be a discretionary cash bonus plan and payments under the Plan will not constitute a part of an employee’s regular rate of pay for any purpose; provided, however, all Awards will be paid to Qualified Employees in accordance with the terms of the Plan and the applicable collective bargaining agreements. Except to the extent specifically provided under a particular pension, insurance, profit sharing, retirement, welfare or other employee benefit plan or arrangement maintained or contributed to by the Company or an Affiliate, the payments to an employee under the Plan will not be treated as “salary,” “wages,” or “cash compensation” to the employee for the purpose of computing benefits to which the employee may be entitled under any such plan or arrangement.</w:t>
      </w:r>
    </w:p>
    <w:p>
      <w:pPr>
        <w:spacing w:after="0" w:line="175" w:lineRule="exact"/>
        <w:rPr>
          <w:rFonts w:ascii="Times New Roman" w:cs="Times New Roman" w:eastAsia="Times New Roman" w:hAnsi="Times New Roman"/>
          <w:sz w:val="22"/>
          <w:szCs w:val="22"/>
          <w:color w:val="auto"/>
        </w:rPr>
      </w:pPr>
    </w:p>
    <w:p>
      <w:pPr>
        <w:jc w:val="both"/>
        <w:ind w:left="660" w:hanging="652"/>
        <w:spacing w:after="0" w:line="216" w:lineRule="auto"/>
        <w:tabs>
          <w:tab w:leader="none" w:pos="65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The Plan commenced on January 1, 2006 as the UAL Corporation Success Sharing Program – Profit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Sharing Plan, was previously amended and restated effective January 1, 2011, again effective January 1, 2014, again effective January 1, 2016, again effective January 1, 2019, again effective January 1, 2023, again effective January 1, 2024, and is hereby again amended and restated effective January 1, 2025. This amendment and restatement is effective for the 2025 Plan Year and future Plan Years, except as otherwise stated herein, and does not apply to 2024 Plan Year profit sharing payments made in 2025.</w:t>
      </w:r>
    </w:p>
    <w:p>
      <w:pPr>
        <w:spacing w:after="0" w:line="172" w:lineRule="exact"/>
        <w:rPr>
          <w:rFonts w:ascii="Times New Roman" w:cs="Times New Roman" w:eastAsia="Times New Roman" w:hAnsi="Times New Roman"/>
          <w:sz w:val="22"/>
          <w:szCs w:val="22"/>
          <w:color w:val="auto"/>
        </w:rPr>
      </w:pPr>
    </w:p>
    <w:p>
      <w:pPr>
        <w:jc w:val="both"/>
        <w:ind w:left="660" w:hanging="652"/>
        <w:spacing w:after="0" w:line="221" w:lineRule="auto"/>
        <w:tabs>
          <w:tab w:leader="none" w:pos="65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w:t>
      </w:r>
      <w:r>
        <w:rPr>
          <w:rFonts w:ascii="Times New Roman" w:cs="Times New Roman" w:eastAsia="Times New Roman" w:hAnsi="Times New Roman"/>
          <w:sz w:val="22"/>
          <w:szCs w:val="22"/>
          <w:color w:val="auto"/>
        </w:rPr>
        <w:t>The provisions of the Plan shall continue indefinitely subject to termination by the Company, or, as it relates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Qualified Employees who are in the class or craft of employees covered by a collective bargaining agreement with the Employer pursuant to which the Employer has agreed to provide such Qualified Employees with participation in a profit sharing bonus plan, subject to termination pursuant to the terms of such collective bargaining agreement.</w:t>
      </w:r>
    </w:p>
    <w:p>
      <w:pPr>
        <w:spacing w:after="0" w:line="175"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Definitions. </w:t>
      </w:r>
      <w:r>
        <w:rPr>
          <w:rFonts w:ascii="Times New Roman" w:cs="Times New Roman" w:eastAsia="Times New Roman" w:hAnsi="Times New Roman"/>
          <w:sz w:val="22"/>
          <w:szCs w:val="22"/>
          <w:color w:val="auto"/>
        </w:rPr>
        <w:t>Unless otherwise specified, the capitalized terms under the Plan have the meanings given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2025</w:t>
      </w:r>
    </w:p>
    <w:p>
      <w:pPr>
        <w:sectPr>
          <w:pgSz w:w="11900" w:h="16838" w:orient="portrait"/>
          <w:cols w:equalWidth="0" w:num="1">
            <w:col w:w="11240"/>
          </w:cols>
          <w:pgMar w:left="320" w:top="117" w:right="339" w:bottom="1440" w:gutter="0" w:footer="0" w:header="0"/>
        </w:sectPr>
      </w:pPr>
    </w:p>
    <w:bookmarkStart w:id="122" w:name="page123"/>
    <w:bookmarkEnd w:id="122"/>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“Affiliate” means any entity, corporate or otherwise, in which the Company, directly or indirectly, owns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controls a greater than 80% interest.</w:t>
      </w:r>
    </w:p>
    <w:p>
      <w:pPr>
        <w:spacing w:after="0" w:line="149" w:lineRule="exact"/>
        <w:rPr>
          <w:sz w:val="20"/>
          <w:szCs w:val="20"/>
          <w:color w:val="auto"/>
        </w:rPr>
      </w:pPr>
    </w:p>
    <w:p>
      <w:pPr>
        <w:jc w:val="both"/>
        <w:ind w:left="660" w:right="2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Award. </w:t>
      </w:r>
      <w:r>
        <w:rPr>
          <w:rFonts w:ascii="Times New Roman" w:cs="Times New Roman" w:eastAsia="Times New Roman" w:hAnsi="Times New Roman"/>
          <w:sz w:val="22"/>
          <w:szCs w:val="22"/>
          <w:color w:val="auto"/>
        </w:rPr>
        <w:t>“Award” means the dollar value of the award payable to a Qualified Employee for an Award Year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determined under the Plan.</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i w:val="1"/>
          <w:iCs w:val="1"/>
          <w:color w:val="auto"/>
        </w:rPr>
        <w:t>Award Year</w:t>
      </w:r>
      <w:r>
        <w:rPr>
          <w:rFonts w:ascii="Times New Roman" w:cs="Times New Roman" w:eastAsia="Times New Roman" w:hAnsi="Times New Roman"/>
          <w:sz w:val="21"/>
          <w:szCs w:val="21"/>
          <w:color w:val="auto"/>
        </w:rPr>
        <w:t>. “Award Year” means the Plan Year for which a profit sharing Award, if any, is determined under the</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Plan.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Base Percentage A. </w:t>
      </w:r>
      <w:r>
        <w:rPr>
          <w:rFonts w:ascii="Times New Roman" w:cs="Times New Roman" w:eastAsia="Times New Roman" w:hAnsi="Times New Roman"/>
          <w:sz w:val="22"/>
          <w:szCs w:val="22"/>
          <w:color w:val="auto"/>
        </w:rPr>
        <w:t>“Base Percentage A” means the percentage determined in accordance with Section III.B.1.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Base Percentage B. </w:t>
      </w:r>
      <w:r>
        <w:rPr>
          <w:rFonts w:ascii="Times New Roman" w:cs="Times New Roman" w:eastAsia="Times New Roman" w:hAnsi="Times New Roman"/>
          <w:sz w:val="22"/>
          <w:szCs w:val="22"/>
          <w:color w:val="auto"/>
        </w:rPr>
        <w:t>“Base Percentage B” means the percentage determined in accordance with Section III.B.2.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Board. </w:t>
      </w:r>
      <w:r>
        <w:rPr>
          <w:rFonts w:ascii="Times New Roman" w:cs="Times New Roman" w:eastAsia="Times New Roman" w:hAnsi="Times New Roman"/>
          <w:sz w:val="22"/>
          <w:szCs w:val="22"/>
          <w:color w:val="auto"/>
        </w:rPr>
        <w:t>“Board” means the Board of Directors of the Company.</w:t>
      </w:r>
    </w:p>
    <w:p>
      <w:pPr>
        <w:spacing w:after="0" w:line="22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“Code” means the Internal Revenue Code of 1986, as amended (including, when the context requires,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interpretations and rulings issued thereunder).</w:t>
      </w:r>
    </w:p>
    <w:p>
      <w:pPr>
        <w:spacing w:after="0" w:line="149"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Committee. </w:t>
      </w:r>
      <w:r>
        <w:rPr>
          <w:rFonts w:ascii="Times New Roman" w:cs="Times New Roman" w:eastAsia="Times New Roman" w:hAnsi="Times New Roman"/>
          <w:sz w:val="22"/>
          <w:szCs w:val="22"/>
          <w:color w:val="auto"/>
        </w:rPr>
        <w:t>“Committee” means the Compensation Committee of the Board or such other committee appointed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Board to exercise the powers and perform the duties assigned to the Compensation Committee under this Plan.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Company. </w:t>
      </w:r>
      <w:r>
        <w:rPr>
          <w:rFonts w:ascii="Times New Roman" w:cs="Times New Roman" w:eastAsia="Times New Roman" w:hAnsi="Times New Roman"/>
          <w:sz w:val="22"/>
          <w:szCs w:val="22"/>
          <w:color w:val="auto"/>
        </w:rPr>
        <w:t>“Company” means United Airlines Holdings, Inc.</w:t>
      </w:r>
    </w:p>
    <w:p>
      <w:pPr>
        <w:spacing w:after="0" w:line="233"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Disability. </w:t>
      </w:r>
      <w:r>
        <w:rPr>
          <w:rFonts w:ascii="Times New Roman" w:cs="Times New Roman" w:eastAsia="Times New Roman" w:hAnsi="Times New Roman"/>
          <w:sz w:val="22"/>
          <w:szCs w:val="22"/>
          <w:color w:val="auto"/>
        </w:rPr>
        <w:t>“Disability” means the Qualified Employee has been determined to be disabled under the Employer’s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long-term disability plan in which such Qualified Employee participates, under the union-sponsored long-term disability plan in which such Qualified Employee participates, or by the Company pursuant to Plan Rules.</w:t>
      </w:r>
    </w:p>
    <w:p>
      <w:pPr>
        <w:spacing w:after="0" w:line="16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Domestic Employee. </w:t>
      </w:r>
      <w:r>
        <w:rPr>
          <w:rFonts w:ascii="Times New Roman" w:cs="Times New Roman" w:eastAsia="Times New Roman" w:hAnsi="Times New Roman"/>
          <w:sz w:val="22"/>
          <w:szCs w:val="22"/>
          <w:color w:val="auto"/>
        </w:rPr>
        <w:t>“Domestic Employee” means any regular full-time or regular part-time employee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Employer on the U.S. payroll, including any internationally based flight attendant covered by the collective bargaining agreement between United Airlines, Inc. and the Association of Flight Attendants. In all cases, general sales agents and other third-party independent contractors are not considered employees.</w:t>
      </w:r>
    </w:p>
    <w:p>
      <w:pPr>
        <w:spacing w:after="0" w:line="168" w:lineRule="exact"/>
        <w:rPr>
          <w:sz w:val="20"/>
          <w:szCs w:val="20"/>
          <w:color w:val="auto"/>
        </w:rPr>
      </w:pPr>
    </w:p>
    <w:p>
      <w:pPr>
        <w:jc w:val="both"/>
        <w:ind w:left="660"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Employer. </w:t>
      </w:r>
      <w:r>
        <w:rPr>
          <w:rFonts w:ascii="Times New Roman" w:cs="Times New Roman" w:eastAsia="Times New Roman" w:hAnsi="Times New Roman"/>
          <w:sz w:val="22"/>
          <w:szCs w:val="22"/>
          <w:color w:val="auto"/>
        </w:rPr>
        <w:t>“Employer” means United Airlines, Inc. and any other Affiliate which is designated by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time to time as participating in the Plan.</w:t>
      </w:r>
    </w:p>
    <w:p>
      <w:pPr>
        <w:spacing w:after="0" w:line="149" w:lineRule="exact"/>
        <w:rPr>
          <w:sz w:val="20"/>
          <w:szCs w:val="20"/>
          <w:color w:val="auto"/>
        </w:rPr>
      </w:pPr>
    </w:p>
    <w:p>
      <w:pPr>
        <w:jc w:val="both"/>
        <w:ind w:left="66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“ERISA” means the Employee Retirement Income Security Act of 1974, as from time to time amended,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any related regulations.</w:t>
      </w:r>
    </w:p>
    <w:p>
      <w:pPr>
        <w:spacing w:after="0" w:line="137"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Flight Qualified Management Employee Group. </w:t>
      </w:r>
      <w:r>
        <w:rPr>
          <w:rFonts w:ascii="Times New Roman" w:cs="Times New Roman" w:eastAsia="Times New Roman" w:hAnsi="Times New Roman"/>
          <w:sz w:val="22"/>
          <w:szCs w:val="22"/>
          <w:color w:val="auto"/>
        </w:rPr>
        <w:t>“Flight Qualified Management Employee Group” means those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Domestic Employees of the Employer (i) who are classified by the Employer as flight qualified management employees (on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2025</w:t>
      </w:r>
    </w:p>
    <w:p>
      <w:pPr>
        <w:sectPr>
          <w:pgSz w:w="11900" w:h="16838" w:orient="portrait"/>
          <w:cols w:equalWidth="0" w:num="1">
            <w:col w:w="11240"/>
          </w:cols>
          <w:pgMar w:left="320" w:top="1418" w:right="339" w:bottom="1440" w:gutter="0" w:footer="0" w:header="0"/>
        </w:sectPr>
      </w:pPr>
    </w:p>
    <w:bookmarkStart w:id="123" w:name="page124"/>
    <w:bookmarkEnd w:id="123"/>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temporary reclassification basis), (ii) whose employment is for an indefinite period, and (iii) who are employed in an Employer established job classification not covered by a collective bargaining agreement.</w:t>
      </w:r>
    </w:p>
    <w:p>
      <w:pPr>
        <w:spacing w:after="0" w:line="154"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Furlough. </w:t>
      </w:r>
      <w:r>
        <w:rPr>
          <w:rFonts w:ascii="Times New Roman" w:cs="Times New Roman" w:eastAsia="Times New Roman" w:hAnsi="Times New Roman"/>
          <w:sz w:val="22"/>
          <w:szCs w:val="22"/>
          <w:color w:val="auto"/>
        </w:rPr>
        <w:t>“Furlough” means a Qualified Employee’s termination of employment with the Employer in connection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which such Qualified Employee has reemployment rights, or, in the case of a Qualified Employee who is in a class or craft of employees covered by a collective bargaining agreement with the Employer pursuant to which the Employer has agreed to provide such Qualified Employees with participation in a profit sharing bonus plan, such other employment action as may be defined as a “furlough” in the applicable collective bargaining agreement.</w:t>
      </w:r>
    </w:p>
    <w:p>
      <w:pPr>
        <w:spacing w:after="0" w:line="17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International Employee. </w:t>
      </w:r>
      <w:r>
        <w:rPr>
          <w:rFonts w:ascii="Times New Roman" w:cs="Times New Roman" w:eastAsia="Times New Roman" w:hAnsi="Times New Roman"/>
          <w:sz w:val="22"/>
          <w:szCs w:val="22"/>
          <w:color w:val="auto"/>
        </w:rPr>
        <w:t>“International Employee” means any regular full-time or regular part-time employee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Employer not on the U.S. payroll who is employed at an Employer branch location outside of the United States, and expressly excludes (1) any internationally based flight attendant covered by the collective bargaining agreement between United Airlines, Inc. and AFA and (2) any employee who qualifies as a Domestic Employee. In all cases, general sales agents and other third-party independent contractors are not considered employees.</w:t>
      </w:r>
    </w:p>
    <w:p>
      <w:pPr>
        <w:spacing w:after="0" w:line="173"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Management and Administrative Employee Group. </w:t>
      </w:r>
      <w:r>
        <w:rPr>
          <w:rFonts w:ascii="Times New Roman" w:cs="Times New Roman" w:eastAsia="Times New Roman" w:hAnsi="Times New Roman"/>
          <w:sz w:val="22"/>
          <w:szCs w:val="22"/>
          <w:color w:val="auto"/>
        </w:rPr>
        <w:t>“Management and Administrative Employee Group” means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those Domestic Employees of the Employer (i) who are classified by the Employer as management and administrative employees (on other than a temporary reclassification basis), (ii) whose employment is for an indefinite period, and (iii) who are employed in an Employer established job classification not covered by a collective bargaining agreement. In addition, the term “Management and Administrative Employee Group” includes any class or craft of U.S. employees who are not covered by a collective bargaining agreement between an Employer and a union and who are not classified by the Employer as management and administrative employees but who nevertheless generally receive the same benefits as the Management and Administrative Employee Group.</w:t>
      </w:r>
    </w:p>
    <w:p>
      <w:pPr>
        <w:spacing w:after="0" w:line="178"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Officer. </w:t>
      </w:r>
      <w:r>
        <w:rPr>
          <w:rFonts w:ascii="Times New Roman" w:cs="Times New Roman" w:eastAsia="Times New Roman" w:hAnsi="Times New Roman"/>
          <w:sz w:val="22"/>
          <w:szCs w:val="22"/>
          <w:color w:val="auto"/>
        </w:rPr>
        <w:t>“Officer” means (i) an “officer” of the Company as such term is defined in Rule 16a-1(f)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Exchange Act of 1934, as amended (“Rule 16a-1(f)”), or (ii) a designated senior officer of the subsidiaries of the Company, including any officer of United Airlines, Inc. who is an “officer” of the Company under Rule 16a-1(f) or who reports directly to the Chairman or the CEO.</w:t>
      </w:r>
    </w:p>
    <w:p>
      <w:pPr>
        <w:spacing w:after="0" w:line="189"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Participating Employee Group. </w:t>
      </w:r>
      <w:r>
        <w:rPr>
          <w:rFonts w:ascii="Times New Roman" w:cs="Times New Roman" w:eastAsia="Times New Roman" w:hAnsi="Times New Roman"/>
          <w:sz w:val="22"/>
          <w:szCs w:val="22"/>
          <w:color w:val="auto"/>
        </w:rPr>
        <w:t>Each employee group set forth in Appendix B is a Participating Employee Group.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Expressly excluded from the definition are: (i) any class or craft of employees represented by a union but not covered by an agreement between an Employer and such union expressly providing for coverage under a Company-sponsored (or Employer-sponsored) profit sharing plan; and (ii) International Employees. In the event of any conflict between Appendix B and a collective bargaining agreement, the collective bargaining agreement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2025</w:t>
      </w:r>
    </w:p>
    <w:p>
      <w:pPr>
        <w:sectPr>
          <w:pgSz w:w="11900" w:h="16838" w:orient="portrait"/>
          <w:cols w:equalWidth="0" w:num="1">
            <w:col w:w="11240"/>
          </w:cols>
          <w:pgMar w:left="320" w:top="1422" w:right="339" w:bottom="1440" w:gutter="0" w:footer="0" w:header="0"/>
        </w:sectPr>
      </w:pPr>
    </w:p>
    <w:bookmarkStart w:id="124" w:name="page125"/>
    <w:bookmarkEnd w:id="124"/>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“Plan” means the United Airlines Holdings, Inc. Profit Sharing Plan as set forth herein. The Plan is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and restatement of the 2019 United Airlines Holdings, Inc. Profit Sharing Plan as amended.</w:t>
      </w:r>
    </w:p>
    <w:p>
      <w:pPr>
        <w:spacing w:after="0" w:line="14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Plan Rules. </w:t>
      </w:r>
      <w:r>
        <w:rPr>
          <w:rFonts w:ascii="Times New Roman" w:cs="Times New Roman" w:eastAsia="Times New Roman" w:hAnsi="Times New Roman"/>
          <w:sz w:val="22"/>
          <w:szCs w:val="22"/>
          <w:color w:val="auto"/>
        </w:rPr>
        <w:t>“Plan Rules” means rules, procedures, policies or practices established by the Company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with respect to the administration of the Plan, which need not be reflected in a written instrument and may be changed at any time without notice.</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Plan Year. </w:t>
      </w:r>
      <w:r>
        <w:rPr>
          <w:rFonts w:ascii="Times New Roman" w:cs="Times New Roman" w:eastAsia="Times New Roman" w:hAnsi="Times New Roman"/>
          <w:sz w:val="22"/>
          <w:szCs w:val="22"/>
          <w:color w:val="auto"/>
        </w:rPr>
        <w:t>“Plan Year” means the 12-month period that corresponds to the Company’s fiscal year.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Pre-Tax Margin. </w:t>
      </w:r>
      <w:r>
        <w:rPr>
          <w:rFonts w:ascii="Times New Roman" w:cs="Times New Roman" w:eastAsia="Times New Roman" w:hAnsi="Times New Roman"/>
          <w:sz w:val="22"/>
          <w:szCs w:val="22"/>
          <w:color w:val="auto"/>
        </w:rPr>
        <w:t>“Pre-Tax Margin” means Pre-Tax Profit divided by Total Revenue as determined under U.S.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generally accepted accounting principles.</w:t>
      </w:r>
    </w:p>
    <w:p>
      <w:pPr>
        <w:spacing w:after="0" w:line="205"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Pre-Tax Profit. </w:t>
      </w:r>
      <w:r>
        <w:rPr>
          <w:rFonts w:ascii="Times New Roman" w:cs="Times New Roman" w:eastAsia="Times New Roman" w:hAnsi="Times New Roman"/>
          <w:sz w:val="22"/>
          <w:szCs w:val="22"/>
          <w:color w:val="auto"/>
        </w:rPr>
        <w:t>“Pre-Tax Profit” means the Company’s consolidated net income as determined under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generally accepted accounting principles, but excluding as determined by the Committee: (i) consolidated federal, state and local income tax expense (or credit); (ii) unusual, special, or non-recurring charges, (iii) charges with respect to the grant, exercise or vesting of equity, securities or options granted to employees of the Company or any Affiliate, and (iv) expense associated with the profit sharing contributions.</w:t>
      </w:r>
    </w:p>
    <w:p>
      <w:pPr>
        <w:spacing w:after="0" w:line="176" w:lineRule="exact"/>
        <w:rPr>
          <w:sz w:val="20"/>
          <w:szCs w:val="20"/>
          <w:color w:val="auto"/>
        </w:rPr>
      </w:pPr>
    </w:p>
    <w:p>
      <w:pPr>
        <w:jc w:val="both"/>
        <w:ind w:left="660" w:right="2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Qualified Employee. </w:t>
      </w:r>
      <w:r>
        <w:rPr>
          <w:rFonts w:ascii="Times New Roman" w:cs="Times New Roman" w:eastAsia="Times New Roman" w:hAnsi="Times New Roman"/>
          <w:sz w:val="22"/>
          <w:szCs w:val="22"/>
          <w:color w:val="auto"/>
        </w:rPr>
        <w:t>“Qualified Employee” means a Domestic Employee of an Employer who,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Employer’s personnel policies, has completed a year of service as of December 31 of the Award Year and satisfies the eligibility requirements of Section II.A.</w:t>
      </w:r>
    </w:p>
    <w:p>
      <w:pPr>
        <w:spacing w:after="0" w:line="161"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Retirement. </w:t>
      </w:r>
      <w:r>
        <w:rPr>
          <w:rFonts w:ascii="Times New Roman" w:cs="Times New Roman" w:eastAsia="Times New Roman" w:hAnsi="Times New Roman"/>
          <w:sz w:val="22"/>
          <w:szCs w:val="22"/>
          <w:color w:val="auto"/>
        </w:rPr>
        <w:t>“Retirement” means the Employee has retired in accordance with the Employer’s employment policies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regulations, including under an “early out” program in which the Company specifies (or otherwise determines in its sole discretion) that the Employee is to be considered retired for purposes of this Plan.</w:t>
      </w:r>
    </w:p>
    <w:p>
      <w:pPr>
        <w:spacing w:after="0" w:line="180"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Total Revenue. </w:t>
      </w:r>
      <w:r>
        <w:rPr>
          <w:rFonts w:ascii="Times New Roman" w:cs="Times New Roman" w:eastAsia="Times New Roman" w:hAnsi="Times New Roman"/>
          <w:sz w:val="22"/>
          <w:szCs w:val="22"/>
          <w:color w:val="auto"/>
        </w:rPr>
        <w:t>“Total Revenue” means the Company’s consolidated total revenue as determined under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generally accepted accounting principles, but excluding, as determined by the Committee, any unusual, special or non-recurring revenue item.</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Wages. </w:t>
      </w:r>
      <w:r>
        <w:rPr>
          <w:rFonts w:ascii="Times New Roman" w:cs="Times New Roman" w:eastAsia="Times New Roman" w:hAnsi="Times New Roman"/>
          <w:sz w:val="22"/>
          <w:szCs w:val="22"/>
          <w:color w:val="auto"/>
        </w:rPr>
        <w:t>“Wages” has the meaning provided in Section III.C.</w:t>
      </w:r>
    </w:p>
    <w:p>
      <w:pPr>
        <w:spacing w:after="0" w:line="193" w:lineRule="exact"/>
        <w:rPr>
          <w:sz w:val="20"/>
          <w:szCs w:val="20"/>
          <w:color w:val="auto"/>
        </w:rPr>
      </w:pPr>
    </w:p>
    <w:p>
      <w:pPr>
        <w:ind w:left="4980" w:hanging="633"/>
        <w:spacing w:after="0"/>
        <w:tabs>
          <w:tab w:leader="none" w:pos="4980"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Participation.</w:t>
      </w:r>
    </w:p>
    <w:p>
      <w:pPr>
        <w:spacing w:after="0" w:line="206" w:lineRule="exact"/>
        <w:rPr>
          <w:rFonts w:ascii="Times New Roman" w:cs="Times New Roman" w:eastAsia="Times New Roman" w:hAnsi="Times New Roman"/>
          <w:sz w:val="22"/>
          <w:szCs w:val="22"/>
          <w:b w:val="1"/>
          <w:bCs w:val="1"/>
          <w:color w:val="auto"/>
        </w:rPr>
      </w:pPr>
    </w:p>
    <w:p>
      <w:pPr>
        <w:jc w:val="both"/>
        <w:ind w:left="660" w:hanging="652"/>
        <w:spacing w:after="0" w:line="228" w:lineRule="auto"/>
        <w:tabs>
          <w:tab w:leader="none" w:pos="65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Eligibility. </w:t>
      </w:r>
      <w:r>
        <w:rPr>
          <w:rFonts w:ascii="Times New Roman" w:cs="Times New Roman" w:eastAsia="Times New Roman" w:hAnsi="Times New Roman"/>
          <w:sz w:val="21"/>
          <w:szCs w:val="21"/>
          <w:color w:val="auto"/>
        </w:rPr>
        <w:t>A Qualified Employee who is employed for any portion of an Award Year is eligible to receive payment of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for such Award Year, unless (1) prior to the end of the Award Year he or she voluntarily terminates employment or</w:t>
      </w:r>
    </w:p>
    <w:p>
      <w:pPr>
        <w:spacing w:after="0" w:line="1" w:lineRule="exact"/>
        <w:rPr>
          <w:rFonts w:ascii="Times New Roman" w:cs="Times New Roman" w:eastAsia="Times New Roman" w:hAnsi="Times New Roman"/>
          <w:sz w:val="21"/>
          <w:szCs w:val="21"/>
          <w:color w:val="auto"/>
        </w:rPr>
      </w:pPr>
    </w:p>
    <w:p>
      <w:pPr>
        <w:ind w:left="660" w:right="20" w:hanging="4"/>
        <w:spacing w:after="0" w:line="225" w:lineRule="auto"/>
        <w:tabs>
          <w:tab w:leader="none" w:pos="1015"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payment date he or she is terminated “for cause” as determined by the Company. Termination of employment due to other reasons, such as involuntary termination (not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2025</w:t>
      </w:r>
    </w:p>
    <w:p>
      <w:pPr>
        <w:sectPr>
          <w:pgSz w:w="11900" w:h="16838" w:orient="portrait"/>
          <w:cols w:equalWidth="0" w:num="1">
            <w:col w:w="11240"/>
          </w:cols>
          <w:pgMar w:left="320" w:top="1418" w:right="339" w:bottom="1440" w:gutter="0" w:footer="0" w:header="0"/>
        </w:sectPr>
      </w:pPr>
    </w:p>
    <w:bookmarkStart w:id="125" w:name="page126"/>
    <w:bookmarkEnd w:id="125"/>
    <w:p>
      <w:pPr>
        <w:ind w:left="660"/>
        <w:spacing w:after="0" w:line="236" w:lineRule="auto"/>
        <w:rPr>
          <w:sz w:val="20"/>
          <w:szCs w:val="20"/>
          <w:color w:val="auto"/>
        </w:rPr>
      </w:pPr>
      <w:r>
        <w:rPr>
          <w:rFonts w:ascii="Times New Roman" w:cs="Times New Roman" w:eastAsia="Times New Roman" w:hAnsi="Times New Roman"/>
          <w:sz w:val="22"/>
          <w:szCs w:val="22"/>
          <w:color w:val="auto"/>
        </w:rPr>
        <w:t>“for cause”), voluntary termination after the end of the Award Year, death, Disability, Retirement, or Furlough do not disqualify a Qualified Employee from receiving payment of an Award for an Award Year.</w:t>
      </w:r>
    </w:p>
    <w:p>
      <w:pPr>
        <w:spacing w:after="0" w:line="173" w:lineRule="exact"/>
        <w:rPr>
          <w:sz w:val="20"/>
          <w:szCs w:val="20"/>
          <w:color w:val="auto"/>
        </w:rPr>
      </w:pPr>
    </w:p>
    <w:p>
      <w:pPr>
        <w:jc w:val="both"/>
        <w:ind w:left="660" w:hanging="652"/>
        <w:spacing w:after="0" w:line="214" w:lineRule="auto"/>
        <w:tabs>
          <w:tab w:leader="none" w:pos="65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Classifications. </w:t>
      </w:r>
      <w:r>
        <w:rPr>
          <w:rFonts w:ascii="Times New Roman" w:cs="Times New Roman" w:eastAsia="Times New Roman" w:hAnsi="Times New Roman"/>
          <w:sz w:val="22"/>
          <w:szCs w:val="22"/>
          <w:color w:val="auto"/>
        </w:rPr>
        <w:t>The classification by an Employer of an individual as an employee of an Employer within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meaning of the Plan, or as a person who is not an employee of an Employer or as being within a particular employee classification will be conclusive for all purposes of this Plan. For purposes of this Plan, a temporary reclassification or special assignment will be disregarded for purposes of determining a Qualified Employee’s classification. No reclassification of an individual as an employee of an Employer, whether by judicial or administrative action or otherwise, will be effective to qualify the individual as a Qualified Employee under this Plan except as the Company agrees, and no reclassification will be given retroactive effect, except as the Company agrees.</w:t>
      </w:r>
    </w:p>
    <w:p>
      <w:pPr>
        <w:spacing w:after="0" w:line="176" w:lineRule="exact"/>
        <w:rPr>
          <w:sz w:val="20"/>
          <w:szCs w:val="20"/>
          <w:color w:val="auto"/>
        </w:rPr>
      </w:pPr>
    </w:p>
    <w:p>
      <w:pPr>
        <w:ind w:left="4560" w:hanging="649"/>
        <w:spacing w:after="0"/>
        <w:tabs>
          <w:tab w:leader="none" w:pos="4560" w:val="left"/>
        </w:tabs>
        <w:numPr>
          <w:ilvl w:val="3"/>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Profit Sharing Awards.</w:t>
      </w:r>
    </w:p>
    <w:p>
      <w:pPr>
        <w:spacing w:after="0" w:line="206" w:lineRule="exact"/>
        <w:rPr>
          <w:rFonts w:ascii="Times New Roman" w:cs="Times New Roman" w:eastAsia="Times New Roman" w:hAnsi="Times New Roman"/>
          <w:sz w:val="22"/>
          <w:szCs w:val="22"/>
          <w:b w:val="1"/>
          <w:bCs w:val="1"/>
          <w:color w:val="auto"/>
        </w:rPr>
      </w:pPr>
    </w:p>
    <w:p>
      <w:pPr>
        <w:jc w:val="both"/>
        <w:ind w:left="660" w:hanging="652"/>
        <w:spacing w:after="0" w:line="228" w:lineRule="auto"/>
        <w:tabs>
          <w:tab w:leader="none" w:pos="65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Annual Threshold</w:t>
      </w:r>
      <w:r>
        <w:rPr>
          <w:rFonts w:ascii="Times New Roman" w:cs="Times New Roman" w:eastAsia="Times New Roman" w:hAnsi="Times New Roman"/>
          <w:sz w:val="21"/>
          <w:szCs w:val="21"/>
          <w:color w:val="auto"/>
        </w:rPr>
        <w:t>. After the end of each Award Year, if the Company’s Pre-Tax Profit for that year exceeds ten million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dollars ($10,000,000), Awards will be determined in accordance with Section III.B. If this threshold is not met, no Awards</w:t>
      </w:r>
    </w:p>
    <w:p>
      <w:pPr>
        <w:spacing w:after="0" w:line="1"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will be payable under the Plan for the Award Year.</w:t>
      </w:r>
    </w:p>
    <w:p>
      <w:pPr>
        <w:spacing w:after="0" w:line="178"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Determination of Awards. </w:t>
      </w:r>
      <w:r>
        <w:rPr>
          <w:rFonts w:ascii="Times New Roman" w:cs="Times New Roman" w:eastAsia="Times New Roman" w:hAnsi="Times New Roman"/>
          <w:sz w:val="22"/>
          <w:szCs w:val="22"/>
          <w:color w:val="auto"/>
        </w:rPr>
        <w:t>Awards will be determined as follows:</w:t>
      </w:r>
    </w:p>
    <w:p>
      <w:pPr>
        <w:spacing w:after="0" w:line="18" w:lineRule="exact"/>
        <w:rPr>
          <w:rFonts w:ascii="Times New Roman" w:cs="Times New Roman" w:eastAsia="Times New Roman" w:hAnsi="Times New Roman"/>
          <w:sz w:val="22"/>
          <w:szCs w:val="22"/>
          <w:color w:val="auto"/>
        </w:rPr>
      </w:pPr>
    </w:p>
    <w:p>
      <w:pPr>
        <w:spacing w:after="0"/>
        <w:tabs>
          <w:tab w:leader="none" w:pos="0" w:val="left"/>
        </w:tabs>
        <w:numPr>
          <w:ilvl w:val="1"/>
          <w:numId w:val="51"/>
        </w:numPr>
        <w:rPr>
          <w:rFonts w:ascii="Times New Roman" w:cs="Times New Roman" w:eastAsia="Times New Roman" w:hAnsi="Times New Roman"/>
          <w:sz w:val="22"/>
          <w:szCs w:val="22"/>
          <w:color w:val="auto"/>
        </w:rPr>
      </w:pPr>
    </w:p>
    <w:p>
      <w:pPr>
        <w:spacing w:after="0" w:line="3" w:lineRule="exact"/>
        <w:rPr>
          <w:rFonts w:ascii="Times New Roman" w:cs="Times New Roman" w:eastAsia="Times New Roman" w:hAnsi="Times New Roman"/>
          <w:sz w:val="22"/>
          <w:szCs w:val="22"/>
          <w:color w:val="auto"/>
        </w:rPr>
      </w:pPr>
    </w:p>
    <w:p>
      <w:pPr>
        <w:jc w:val="both"/>
        <w:ind w:left="1220" w:hanging="564"/>
        <w:spacing w:after="0" w:line="252" w:lineRule="auto"/>
        <w:tabs>
          <w:tab w:leader="none" w:pos="121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Determination of Base Percentage A</w:t>
      </w:r>
      <w:r>
        <w:rPr>
          <w:rFonts w:ascii="Times New Roman" w:cs="Times New Roman" w:eastAsia="Times New Roman" w:hAnsi="Times New Roman"/>
          <w:sz w:val="22"/>
          <w:szCs w:val="22"/>
          <w:color w:val="auto"/>
        </w:rPr>
        <w:t>: Base Percentage A is equal to one percent (1%) of Pre-Tax Profit up to and including a Pre-Tax Margin of 6.9%, divided by the total Wages of all Qualified Employees of the Employers for the Award Year.</w:t>
      </w:r>
    </w:p>
    <w:p>
      <w:pPr>
        <w:spacing w:after="0" w:line="205" w:lineRule="exact"/>
        <w:rPr>
          <w:rFonts w:ascii="Times New Roman" w:cs="Times New Roman" w:eastAsia="Times New Roman" w:hAnsi="Times New Roman"/>
          <w:sz w:val="22"/>
          <w:szCs w:val="22"/>
          <w:color w:val="auto"/>
        </w:rPr>
      </w:pPr>
    </w:p>
    <w:p>
      <w:pPr>
        <w:ind w:left="1620" w:hanging="405"/>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Notwithstanding the foregoing, for the group of Qualified Employees covered by the collective bargaining agreement between the Company and the Association of Flight Attendants – CWA, Base Percentage A is equal to one percent (1%) of Pre-Tax Profit up to and including Pre-Tax Profit for the previous Plan Year.</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w:t>
      </w:r>
    </w:p>
    <w:p>
      <w:pPr>
        <w:spacing w:after="0" w:line="5" w:lineRule="exact"/>
        <w:rPr>
          <w:sz w:val="20"/>
          <w:szCs w:val="20"/>
          <w:color w:val="auto"/>
        </w:rPr>
      </w:pPr>
    </w:p>
    <w:p>
      <w:pPr>
        <w:jc w:val="both"/>
        <w:ind w:left="1620" w:hanging="397"/>
        <w:spacing w:after="0" w:line="246" w:lineRule="auto"/>
        <w:tabs>
          <w:tab w:leader="none" w:pos="169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group of Qualified Employees covered by the collective bargaining agreement between the Company and the Air Line Pilots Association, International, Base Percentage A is equal to one percent (1%) of Pre-Tax Profit up to and including $2.5 billion in Pre-Tax Profit.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w:t>
      </w:r>
    </w:p>
    <w:p>
      <w:pPr>
        <w:spacing w:after="0" w:line="4" w:lineRule="exact"/>
        <w:rPr>
          <w:sz w:val="20"/>
          <w:szCs w:val="20"/>
          <w:color w:val="auto"/>
        </w:rPr>
      </w:pPr>
    </w:p>
    <w:p>
      <w:pPr>
        <w:ind w:left="1620" w:right="20" w:hanging="397"/>
        <w:spacing w:after="0" w:line="244" w:lineRule="auto"/>
        <w:tabs>
          <w:tab w:leader="none" w:pos="163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Flight Qualified Management Employee Group, Base Percentage A is equal to one percent (1%) of Pre-Tax Profit up to and including $2.5 billion in Pre-Tax Profit.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w:t>
      </w:r>
    </w:p>
    <w:p>
      <w:pPr>
        <w:spacing w:after="0" w:line="15" w:lineRule="exact"/>
        <w:rPr>
          <w:sz w:val="20"/>
          <w:szCs w:val="20"/>
          <w:color w:val="auto"/>
        </w:rPr>
      </w:pPr>
    </w:p>
    <w:p>
      <w:pPr>
        <w:jc w:val="both"/>
        <w:ind w:left="1220" w:hanging="564"/>
        <w:spacing w:after="0" w:line="245" w:lineRule="auto"/>
        <w:tabs>
          <w:tab w:leader="none" w:pos="121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u w:val="single" w:color="auto"/>
          <w:color w:val="auto"/>
        </w:rPr>
        <w:t>Determination of Base Percentage B</w:t>
      </w:r>
      <w:r>
        <w:rPr>
          <w:rFonts w:ascii="Times New Roman" w:cs="Times New Roman" w:eastAsia="Times New Roman" w:hAnsi="Times New Roman"/>
          <w:sz w:val="22"/>
          <w:szCs w:val="22"/>
          <w:color w:val="auto"/>
        </w:rPr>
        <w:t>: Base Percentage B is equal to one percent (1%) of Pre-Tax Profit in excess of a Pre-Tax Margin of 6.9%, divided by the total Wages of all Qualified Employees of the Employers for the Award Year. \</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2025</w:t>
      </w:r>
    </w:p>
    <w:p>
      <w:pPr>
        <w:sectPr>
          <w:pgSz w:w="11900" w:h="16838" w:orient="portrait"/>
          <w:cols w:equalWidth="0" w:num="1">
            <w:col w:w="11240"/>
          </w:cols>
          <w:pgMar w:left="320" w:top="1395" w:right="339" w:bottom="1440" w:gutter="0" w:footer="0" w:header="0"/>
        </w:sectPr>
      </w:pPr>
    </w:p>
    <w:bookmarkStart w:id="126" w:name="page127"/>
    <w:bookmarkEnd w:id="126"/>
    <w:p>
      <w:pPr>
        <w:spacing w:after="0" w:line="225" w:lineRule="exact"/>
        <w:rPr>
          <w:sz w:val="20"/>
          <w:szCs w:val="20"/>
          <w:color w:val="auto"/>
        </w:rPr>
      </w:pPr>
    </w:p>
    <w:p>
      <w:pPr>
        <w:jc w:val="both"/>
        <w:ind w:left="1620" w:hanging="397"/>
        <w:spacing w:after="0" w:line="251" w:lineRule="auto"/>
        <w:tabs>
          <w:tab w:leader="none" w:pos="168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group of Qualified Employees covered by the collective bargaining agreement between the Company and the Association of Flight Attendants – CWA, Base Percentage B is equal to one percent (1%) of Pre-Tax Profit in excess of Pre-Tax Profit for the previous Plan Year.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w:t>
      </w:r>
    </w:p>
    <w:p>
      <w:pPr>
        <w:spacing w:after="0" w:line="15" w:lineRule="exact"/>
        <w:rPr>
          <w:sz w:val="20"/>
          <w:szCs w:val="20"/>
          <w:color w:val="auto"/>
        </w:rPr>
      </w:pPr>
    </w:p>
    <w:p>
      <w:pPr>
        <w:jc w:val="both"/>
        <w:ind w:left="1620" w:hanging="397"/>
        <w:spacing w:after="0" w:line="243" w:lineRule="auto"/>
        <w:tabs>
          <w:tab w:leader="none" w:pos="16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group of Qualified Employees covered by the collective bargaining agreement between the Company and the Air Line Pilots Association, International, Base Percentage B is equal to one percent (1%) of Pre-Tax Profit in excess of $2.5 billion in Pre-Tax Profit.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J.</w:t>
      </w:r>
    </w:p>
    <w:p>
      <w:pPr>
        <w:spacing w:after="0" w:line="5" w:lineRule="exact"/>
        <w:rPr>
          <w:sz w:val="20"/>
          <w:szCs w:val="20"/>
          <w:color w:val="auto"/>
        </w:rPr>
      </w:pPr>
    </w:p>
    <w:p>
      <w:pPr>
        <w:ind w:left="1620" w:hanging="397"/>
        <w:spacing w:after="0" w:line="248" w:lineRule="auto"/>
        <w:tabs>
          <w:tab w:leader="none" w:pos="163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Flight Qualified Management Employee Group, Base Percentage B is equal to one percent (1%) of Pre-Tax Profit in excess of $2.5 billion in Pre-Tax Profit.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K.</w:t>
      </w:r>
    </w:p>
    <w:p>
      <w:pPr>
        <w:spacing w:after="0" w:line="4" w:lineRule="exact"/>
        <w:rPr>
          <w:sz w:val="20"/>
          <w:szCs w:val="20"/>
          <w:color w:val="auto"/>
        </w:rPr>
      </w:pPr>
    </w:p>
    <w:p>
      <w:pPr>
        <w:ind w:left="1220" w:hanging="564"/>
        <w:spacing w:after="0" w:line="243" w:lineRule="auto"/>
        <w:tabs>
          <w:tab w:leader="none" w:pos="121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Calculation</w:t>
      </w:r>
      <w:r>
        <w:rPr>
          <w:rFonts w:ascii="Times New Roman" w:cs="Times New Roman" w:eastAsia="Times New Roman" w:hAnsi="Times New Roman"/>
          <w:sz w:val="22"/>
          <w:szCs w:val="22"/>
          <w:color w:val="auto"/>
        </w:rPr>
        <w:t>. Each Qualified Employee eligible under Section II shall be entitled to an Award equal to the following: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w:t>
      </w:r>
    </w:p>
    <w:p>
      <w:pPr>
        <w:spacing w:after="0" w:line="5" w:lineRule="exact"/>
        <w:rPr>
          <w:sz w:val="20"/>
          <w:szCs w:val="20"/>
          <w:color w:val="auto"/>
        </w:rPr>
      </w:pPr>
    </w:p>
    <w:p>
      <w:pPr>
        <w:ind w:left="1620" w:hanging="397"/>
        <w:spacing w:after="0" w:line="259" w:lineRule="auto"/>
        <w:tabs>
          <w:tab w:leader="none" w:pos="180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Qualified Employee’s Wages x Base Percentage A x the Factor for Base Percentage A set forth in Appendix B applicable to such Qualified Employee’s Participating Employee Group;</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u w:val="single" w:color="auto"/>
          <w:color w:val="auto"/>
        </w:rPr>
        <w:t>Plus</w:t>
      </w:r>
    </w:p>
    <w:p>
      <w:pPr>
        <w:spacing w:after="0" w:line="247" w:lineRule="exact"/>
        <w:rPr>
          <w:sz w:val="20"/>
          <w:szCs w:val="20"/>
          <w:color w:val="auto"/>
        </w:rPr>
      </w:pPr>
    </w:p>
    <w:p>
      <w:pPr>
        <w:ind w:left="1620" w:right="20" w:hanging="397"/>
        <w:spacing w:after="0" w:line="271" w:lineRule="auto"/>
        <w:tabs>
          <w:tab w:leader="none" w:pos="1821"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Qualified Employee’s Wages x Base Percentage B x the Factor for Base Percentage B set forth in Appendix B applicable to such Qualified Employee’s Participating Employee Group.</w:t>
      </w:r>
    </w:p>
    <w:p>
      <w:pPr>
        <w:spacing w:after="0" w:line="167"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Wages. </w:t>
      </w:r>
      <w:r>
        <w:rPr>
          <w:rFonts w:ascii="Times New Roman" w:cs="Times New Roman" w:eastAsia="Times New Roman" w:hAnsi="Times New Roman"/>
          <w:sz w:val="22"/>
          <w:szCs w:val="22"/>
          <w:color w:val="auto"/>
        </w:rPr>
        <w:t>Wages for a Plan Year will be determined as follows:</w:t>
      </w:r>
    </w:p>
    <w:p>
      <w:pPr>
        <w:spacing w:after="0" w:line="237" w:lineRule="exact"/>
        <w:rPr>
          <w:rFonts w:ascii="Times New Roman" w:cs="Times New Roman" w:eastAsia="Times New Roman" w:hAnsi="Times New Roman"/>
          <w:sz w:val="22"/>
          <w:szCs w:val="22"/>
          <w:color w:val="auto"/>
        </w:rPr>
      </w:pPr>
    </w:p>
    <w:p>
      <w:pPr>
        <w:ind w:left="1300" w:hanging="644"/>
        <w:spacing w:after="0" w:line="250" w:lineRule="auto"/>
        <w:tabs>
          <w:tab w:leader="none" w:pos="104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Included</w:t>
      </w:r>
      <w:r>
        <w:rPr>
          <w:rFonts w:ascii="Times New Roman" w:cs="Times New Roman" w:eastAsia="Times New Roman" w:hAnsi="Times New Roman"/>
          <w:sz w:val="22"/>
          <w:szCs w:val="22"/>
          <w:color w:val="auto"/>
        </w:rPr>
        <w:t>. “Wages” will only include compensation paid (or payable) during a Plan Year to a Qualified Employee for the period he or she is a Qualified Employee and shall include the items listed in Paragraph A-1 of Appendix A. Wages will include compensation not paid as a result of an earnings reduction election made by the Qualified Employee under a Code Sec. 125 cafeteria plan or under any qualified cash or deferred arrangement under Code Sec. 401(k).</w:t>
      </w:r>
    </w:p>
    <w:p>
      <w:pPr>
        <w:spacing w:after="0" w:line="217" w:lineRule="exact"/>
        <w:rPr>
          <w:rFonts w:ascii="Times New Roman" w:cs="Times New Roman" w:eastAsia="Times New Roman" w:hAnsi="Times New Roman"/>
          <w:sz w:val="22"/>
          <w:szCs w:val="22"/>
          <w:color w:val="auto"/>
        </w:rPr>
      </w:pPr>
    </w:p>
    <w:p>
      <w:pPr>
        <w:ind w:left="1300" w:right="20" w:hanging="644"/>
        <w:spacing w:after="0" w:line="275" w:lineRule="auto"/>
        <w:tabs>
          <w:tab w:leader="none" w:pos="116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xml:space="preserve">. “Wages” will </w:t>
      </w:r>
      <w:r>
        <w:rPr>
          <w:rFonts w:ascii="Times New Roman" w:cs="Times New Roman" w:eastAsia="Times New Roman" w:hAnsi="Times New Roman"/>
          <w:sz w:val="22"/>
          <w:szCs w:val="22"/>
          <w:i w:val="1"/>
          <w:iCs w:val="1"/>
          <w:color w:val="auto"/>
        </w:rPr>
        <w:t>not</w:t>
      </w:r>
      <w:r>
        <w:rPr>
          <w:rFonts w:ascii="Times New Roman" w:cs="Times New Roman" w:eastAsia="Times New Roman" w:hAnsi="Times New Roman"/>
          <w:sz w:val="22"/>
          <w:szCs w:val="22"/>
          <w:color w:val="auto"/>
        </w:rPr>
        <w:t xml:space="preserve"> include the items of compensation or other payments listed in Paragraph A-2 of Appendix A.</w:t>
      </w:r>
    </w:p>
    <w:p>
      <w:pPr>
        <w:spacing w:after="0" w:line="180" w:lineRule="exact"/>
        <w:rPr>
          <w:rFonts w:ascii="Times New Roman" w:cs="Times New Roman" w:eastAsia="Times New Roman" w:hAnsi="Times New Roman"/>
          <w:sz w:val="22"/>
          <w:szCs w:val="22"/>
          <w:color w:val="auto"/>
        </w:rPr>
      </w:pPr>
    </w:p>
    <w:p>
      <w:pPr>
        <w:ind w:left="1300" w:hanging="644"/>
        <w:spacing w:after="0" w:line="271" w:lineRule="auto"/>
        <w:tabs>
          <w:tab w:leader="none" w:pos="105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Reemployment</w:t>
      </w:r>
      <w:r>
        <w:rPr>
          <w:rFonts w:ascii="Times New Roman" w:cs="Times New Roman" w:eastAsia="Times New Roman" w:hAnsi="Times New Roman"/>
          <w:sz w:val="22"/>
          <w:szCs w:val="22"/>
          <w:color w:val="auto"/>
        </w:rPr>
        <w:t>. In the event a Qualified Employee terminates employment and is reemployed by an Employer, such employee’s Wages will include amounts paid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2025</w:t>
      </w:r>
    </w:p>
    <w:p>
      <w:pPr>
        <w:sectPr>
          <w:pgSz w:w="11900" w:h="16838" w:orient="portrait"/>
          <w:cols w:equalWidth="0" w:num="1">
            <w:col w:w="11240"/>
          </w:cols>
          <w:pgMar w:left="320" w:top="1440" w:right="339" w:bottom="1440" w:gutter="0" w:footer="0" w:header="0"/>
        </w:sectPr>
      </w:pPr>
    </w:p>
    <w:bookmarkStart w:id="127" w:name="page128"/>
    <w:bookmarkEnd w:id="127"/>
    <w:p>
      <w:pPr>
        <w:ind w:left="1300"/>
        <w:spacing w:after="0"/>
        <w:rPr>
          <w:sz w:val="20"/>
          <w:szCs w:val="20"/>
          <w:color w:val="auto"/>
        </w:rPr>
      </w:pPr>
      <w:r>
        <w:rPr>
          <w:rFonts w:ascii="Times New Roman" w:cs="Times New Roman" w:eastAsia="Times New Roman" w:hAnsi="Times New Roman"/>
          <w:sz w:val="22"/>
          <w:szCs w:val="22"/>
          <w:color w:val="auto"/>
        </w:rPr>
        <w:t>during the applicable Plan Year, both prior to the termination and following such reemployment.</w:t>
      </w:r>
    </w:p>
    <w:p>
      <w:pPr>
        <w:spacing w:after="0" w:line="247" w:lineRule="exact"/>
        <w:rPr>
          <w:sz w:val="20"/>
          <w:szCs w:val="20"/>
          <w:color w:val="auto"/>
        </w:rPr>
      </w:pPr>
    </w:p>
    <w:p>
      <w:pPr>
        <w:ind w:left="1300" w:hanging="644"/>
        <w:spacing w:after="0" w:line="263" w:lineRule="auto"/>
        <w:tabs>
          <w:tab w:leader="none" w:pos="103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Position</w:t>
      </w:r>
      <w:r>
        <w:rPr>
          <w:rFonts w:ascii="Times New Roman" w:cs="Times New Roman" w:eastAsia="Times New Roman" w:hAnsi="Times New Roman"/>
          <w:sz w:val="22"/>
          <w:szCs w:val="22"/>
          <w:color w:val="auto"/>
        </w:rPr>
        <w:t>. In the event that a Qualified Employee transfers from one Employee Group to another Employee Group during the calendar year, the Qualified Employee’s Wages while a member of each Employee Group shall be distinguished and applied to the appropriate formula under Section III.B.</w:t>
      </w:r>
    </w:p>
    <w:p>
      <w:pPr>
        <w:spacing w:after="0" w:line="194" w:lineRule="exact"/>
        <w:rPr>
          <w:rFonts w:ascii="Times New Roman" w:cs="Times New Roman" w:eastAsia="Times New Roman" w:hAnsi="Times New Roman"/>
          <w:sz w:val="22"/>
          <w:szCs w:val="22"/>
          <w:color w:val="auto"/>
        </w:rPr>
      </w:pPr>
    </w:p>
    <w:p>
      <w:pPr>
        <w:ind w:left="1300" w:hanging="644"/>
        <w:spacing w:after="0" w:line="251" w:lineRule="auto"/>
        <w:tabs>
          <w:tab w:leader="none" w:pos="103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Wages</w:t>
      </w:r>
      <w:r>
        <w:rPr>
          <w:rFonts w:ascii="Times New Roman" w:cs="Times New Roman" w:eastAsia="Times New Roman" w:hAnsi="Times New Roman"/>
          <w:sz w:val="22"/>
          <w:szCs w:val="22"/>
          <w:color w:val="auto"/>
        </w:rPr>
        <w:t>. Subject to the provisions of Appendix A, the Company’s Executive Vice President – Human Resources and Labor Relations will determine, in his or her discretion (subject to a contrary requirement under any applicable collective bargaining agreement or determination under any applicable collective bargaining agreement grievance procedure in the case of an employee who is in the class or craft of employees covered by a collective bargaining agreement), whether an item of compensation is included or excluded from the definition of “Wages.”</w:t>
      </w:r>
    </w:p>
    <w:p>
      <w:pPr>
        <w:spacing w:after="0" w:line="177" w:lineRule="exact"/>
        <w:rPr>
          <w:rFonts w:ascii="Times New Roman" w:cs="Times New Roman" w:eastAsia="Times New Roman" w:hAnsi="Times New Roman"/>
          <w:sz w:val="22"/>
          <w:szCs w:val="22"/>
          <w:color w:val="auto"/>
        </w:rPr>
      </w:pPr>
    </w:p>
    <w:p>
      <w:pPr>
        <w:jc w:val="both"/>
        <w:ind w:left="660" w:hanging="652"/>
        <w:spacing w:after="0" w:line="226" w:lineRule="auto"/>
        <w:tabs>
          <w:tab w:leader="none" w:pos="65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Time of Payment</w:t>
      </w:r>
      <w:r>
        <w:rPr>
          <w:rFonts w:ascii="Times New Roman" w:cs="Times New Roman" w:eastAsia="Times New Roman" w:hAnsi="Times New Roman"/>
          <w:sz w:val="21"/>
          <w:szCs w:val="21"/>
          <w:color w:val="auto"/>
        </w:rPr>
        <w:t>. Award payments will be made following determination of the Company’s Pre-Tax Profit for the fiscal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year, but not later than March 15 or as soon as administratively practicable thereafter. Notwithstanding the foregoing, the Committee may, in its reasonable discretion, vary the time for making the payments provided herein, provided such modification does not cause the payments to become subject to the tax under Section 409A of the Code. Nothing herein shall be construed to grant to any Qualified Employee who is entitled to payment of an Award or to any person claiming under or through such Qualified Employee the right to elect a modification of the time for receiving payments hereunder.</w:t>
      </w:r>
    </w:p>
    <w:p>
      <w:pPr>
        <w:spacing w:after="0" w:line="174" w:lineRule="exact"/>
        <w:rPr>
          <w:rFonts w:ascii="Times New Roman" w:cs="Times New Roman" w:eastAsia="Times New Roman" w:hAnsi="Times New Roman"/>
          <w:sz w:val="21"/>
          <w:szCs w:val="21"/>
          <w:color w:val="auto"/>
        </w:rPr>
      </w:pPr>
    </w:p>
    <w:p>
      <w:pPr>
        <w:jc w:val="both"/>
        <w:ind w:left="660" w:hanging="652"/>
        <w:spacing w:after="0" w:line="210" w:lineRule="auto"/>
        <w:tabs>
          <w:tab w:leader="none" w:pos="63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Methods. </w:t>
      </w:r>
      <w:r>
        <w:rPr>
          <w:rFonts w:ascii="Times New Roman" w:cs="Times New Roman" w:eastAsia="Times New Roman" w:hAnsi="Times New Roman"/>
          <w:sz w:val="22"/>
          <w:szCs w:val="22"/>
          <w:color w:val="auto"/>
        </w:rPr>
        <w:t>Each Qualified Employee entitled to an Award will receive payment of the Award in cash,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employee’s right, if any, to elect to defer receipt of a portion of such cash payment as may be permitted under any Employer-sponsored 401(k) plan in which the Qualified Employee is eligible to participate. Payment is subject to any applicable withholding taxes and other amounts the Company reasonably determines it is obligated to withhold or deduct pursuant to federal, state or local laws. Notwithstanding the foregoing:</w:t>
      </w:r>
    </w:p>
    <w:p>
      <w:pPr>
        <w:spacing w:after="0" w:line="1" w:lineRule="exact"/>
        <w:rPr>
          <w:rFonts w:ascii="Times New Roman" w:cs="Times New Roman" w:eastAsia="Times New Roman" w:hAnsi="Times New Roman"/>
          <w:sz w:val="22"/>
          <w:szCs w:val="22"/>
          <w:color w:val="auto"/>
        </w:rPr>
      </w:pPr>
    </w:p>
    <w:p>
      <w:pPr>
        <w:jc w:val="both"/>
        <w:ind w:left="1300" w:hanging="644"/>
        <w:spacing w:after="0" w:line="208" w:lineRule="auto"/>
        <w:tabs>
          <w:tab w:leader="none" w:pos="147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right, in its reasonable discretion, to vary the form of payment of Awards payable to Officers by payment in shares of the Company’s common stock. In the event the Company reasonably anticipates that the Company’s deduction with respect to a payment otherwise would be limited or eliminated by application of Section 162(m) of the Code, the Committee may enter into an agreement with an Officer to provide payment of an Award on a deferred basis through a bookkeeping account, the value of which may be determined by reference to the Company’s common stock, provided such written deferred payment arrangement complies with the requirements of Section 409A of the Code, including the requirement that the payment be made either at the earliest date at which the Company reasonably anticipates the payment of the amount will not be limited or eliminated by application of Section 162(m) of the Code or the calendar year in which the officer separates from service with the Company and all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2025</w:t>
      </w:r>
    </w:p>
    <w:p>
      <w:pPr>
        <w:sectPr>
          <w:pgSz w:w="11900" w:h="16838" w:orient="portrait"/>
          <w:cols w:equalWidth="0" w:num="1">
            <w:col w:w="11240"/>
          </w:cols>
          <w:pgMar w:left="320" w:top="1422" w:right="339" w:bottom="1440" w:gutter="0" w:footer="0" w:header="0"/>
        </w:sectPr>
      </w:pPr>
    </w:p>
    <w:bookmarkStart w:id="128" w:name="page129"/>
    <w:bookmarkEnd w:id="128"/>
    <w:p>
      <w:pPr>
        <w:ind w:left="1300" w:hanging="644"/>
        <w:spacing w:after="0" w:line="256" w:lineRule="auto"/>
        <w:tabs>
          <w:tab w:leader="none" w:pos="121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Awards for any employee group shall be made as a profit sharing contribution to the applicable Employer-sponsored 401(k) plan if required under the terms of the applicable collective bargaining agreement or, in the case of the Management and Administrative Employee Group or the Flight Qualified Management Employee Group, if so determined by the Company.</w:t>
      </w:r>
    </w:p>
    <w:p>
      <w:pPr>
        <w:spacing w:after="0" w:line="172" w:lineRule="exact"/>
        <w:rPr>
          <w:sz w:val="20"/>
          <w:szCs w:val="20"/>
          <w:color w:val="auto"/>
        </w:rPr>
      </w:pPr>
    </w:p>
    <w:p>
      <w:pPr>
        <w:ind w:left="4020"/>
        <w:spacing w:after="0"/>
        <w:tabs>
          <w:tab w:leader="none" w:pos="462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Plan Administration.</w:t>
      </w:r>
    </w:p>
    <w:p>
      <w:pPr>
        <w:spacing w:after="0" w:line="206" w:lineRule="exact"/>
        <w:rPr>
          <w:sz w:val="20"/>
          <w:szCs w:val="20"/>
          <w:color w:val="auto"/>
        </w:rPr>
      </w:pPr>
    </w:p>
    <w:p>
      <w:pPr>
        <w:jc w:val="both"/>
        <w:ind w:left="660" w:hanging="652"/>
        <w:spacing w:after="0" w:line="213" w:lineRule="auto"/>
        <w:tabs>
          <w:tab w:leader="none" w:pos="65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Plan Administration</w:t>
      </w:r>
      <w:r>
        <w:rPr>
          <w:rFonts w:ascii="Times New Roman" w:cs="Times New Roman" w:eastAsia="Times New Roman" w:hAnsi="Times New Roman"/>
          <w:sz w:val="22"/>
          <w:szCs w:val="22"/>
          <w:color w:val="auto"/>
        </w:rPr>
        <w:t>. The Company or its delegate has the authority and responsibility to manage and control the general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administration of the Plan, except as to matters expressly reserved in the Plan to the Committee. Determinations, decisions and actions of the Company or, if applicable, the Committee, in connection with the construction, interpretation, administration, or application of the Plan will be final, conclusive, and binding upon any person, including any employee of any Employer, any Qualified Employee and any person claiming under or through the Qualified Employee. No employee of an Employer, any member of the Board, any delegate of the Board, or any member of the Committee will be liable for any determination, decision, or action made in good faith with respect to the Plan or any Award made under the Plan.</w:t>
      </w:r>
    </w:p>
    <w:p>
      <w:pPr>
        <w:spacing w:after="0" w:line="17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Committee</w:t>
      </w:r>
      <w:r>
        <w:rPr>
          <w:rFonts w:ascii="Times New Roman" w:cs="Times New Roman" w:eastAsia="Times New Roman" w:hAnsi="Times New Roman"/>
          <w:sz w:val="22"/>
          <w:szCs w:val="22"/>
          <w:color w:val="auto"/>
        </w:rPr>
        <w:t>. The Committee has the sole authority and responsibility to administer Awards payable to Officers.</w:t>
      </w:r>
    </w:p>
    <w:p>
      <w:pPr>
        <w:spacing w:after="0" w:line="206" w:lineRule="exact"/>
        <w:rPr>
          <w:rFonts w:ascii="Times New Roman" w:cs="Times New Roman" w:eastAsia="Times New Roman" w:hAnsi="Times New Roman"/>
          <w:sz w:val="22"/>
          <w:szCs w:val="22"/>
          <w:color w:val="auto"/>
        </w:rPr>
      </w:pPr>
    </w:p>
    <w:p>
      <w:pPr>
        <w:ind w:left="3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1"/>
          <w:szCs w:val="21"/>
          <w:b w:val="1"/>
          <w:bCs w:val="1"/>
          <w:u w:val="single" w:color="auto"/>
          <w:color w:val="auto"/>
        </w:rPr>
        <w:t>Amendment or Termination.</w:t>
      </w:r>
    </w:p>
    <w:p>
      <w:pPr>
        <w:spacing w:after="0" w:line="206" w:lineRule="exact"/>
        <w:rPr>
          <w:sz w:val="20"/>
          <w:szCs w:val="20"/>
          <w:color w:val="auto"/>
        </w:rPr>
      </w:pPr>
    </w:p>
    <w:p>
      <w:pPr>
        <w:jc w:val="both"/>
        <w:ind w:left="660" w:hanging="652"/>
        <w:spacing w:after="0" w:line="221" w:lineRule="auto"/>
        <w:tabs>
          <w:tab w:leader="none" w:pos="65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Authority to Amend or Terminate Plan</w:t>
      </w:r>
      <w:r>
        <w:rPr>
          <w:rFonts w:ascii="Times New Roman" w:cs="Times New Roman" w:eastAsia="Times New Roman" w:hAnsi="Times New Roman"/>
          <w:sz w:val="22"/>
          <w:szCs w:val="22"/>
          <w:color w:val="auto"/>
        </w:rPr>
        <w:t>. The Plan may at any time be amended, modified, suspended or terminated,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in its sole discretion determines. Such amendment, modification, or termination of the Plan will not require any notice or the consent, ratification, or approval of any party, including any Qualified Employee who is then eligible to participate in the Plan.</w:t>
      </w:r>
    </w:p>
    <w:p>
      <w:pPr>
        <w:spacing w:after="0" w:line="175" w:lineRule="exact"/>
        <w:rPr>
          <w:rFonts w:ascii="Times New Roman" w:cs="Times New Roman" w:eastAsia="Times New Roman" w:hAnsi="Times New Roman"/>
          <w:sz w:val="22"/>
          <w:szCs w:val="22"/>
          <w:color w:val="auto"/>
        </w:rPr>
      </w:pPr>
    </w:p>
    <w:p>
      <w:pPr>
        <w:jc w:val="both"/>
        <w:ind w:left="660" w:hanging="652"/>
        <w:spacing w:after="0" w:line="214" w:lineRule="auto"/>
        <w:tabs>
          <w:tab w:leader="none" w:pos="65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Authority to Amend Awards</w:t>
      </w:r>
      <w:r>
        <w:rPr>
          <w:rFonts w:ascii="Times New Roman" w:cs="Times New Roman" w:eastAsia="Times New Roman" w:hAnsi="Times New Roman"/>
          <w:sz w:val="22"/>
          <w:szCs w:val="22"/>
          <w:color w:val="auto"/>
        </w:rPr>
        <w:t>. The Committee in its sole discretion may reduce or eliminate an Award payable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member of the Management and Administrative Employee Group classified by the Company as a management employee or to any member of the Flight Qualified Management Employee Group. In addition, the Company may reduce any Award, prior to the payment of the Award, to the extent it deems necessary or appropriate to comply with laws, including applicable securities laws, local laws outside the United States and the pooling of interests requirements in connection with a merger, provided that nothing in this Section V.B affects the rights of any employee to an Award required under the terms of a collective bargaining agreement.</w:t>
      </w:r>
    </w:p>
    <w:p>
      <w:pPr>
        <w:spacing w:after="0" w:line="176" w:lineRule="exact"/>
        <w:rPr>
          <w:sz w:val="20"/>
          <w:szCs w:val="20"/>
          <w:color w:val="auto"/>
        </w:rPr>
      </w:pPr>
    </w:p>
    <w:p>
      <w:pPr>
        <w:ind w:left="4300"/>
        <w:spacing w:after="0"/>
        <w:tabs>
          <w:tab w:leader="none" w:pos="492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Miscellaneous.</w:t>
      </w:r>
    </w:p>
    <w:p>
      <w:pPr>
        <w:spacing w:after="0" w:line="206" w:lineRule="exact"/>
        <w:rPr>
          <w:sz w:val="20"/>
          <w:szCs w:val="20"/>
          <w:color w:val="auto"/>
        </w:rPr>
      </w:pPr>
    </w:p>
    <w:p>
      <w:pPr>
        <w:jc w:val="both"/>
        <w:ind w:left="660" w:hanging="652"/>
        <w:spacing w:after="0" w:line="214" w:lineRule="auto"/>
        <w:tabs>
          <w:tab w:leader="none" w:pos="65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Contract of Employment, etc. </w:t>
      </w:r>
      <w:r>
        <w:rPr>
          <w:rFonts w:ascii="Times New Roman" w:cs="Times New Roman" w:eastAsia="Times New Roman" w:hAnsi="Times New Roman"/>
          <w:sz w:val="22"/>
          <w:szCs w:val="22"/>
          <w:color w:val="auto"/>
        </w:rPr>
        <w:t>Neither this Plan nor any award under the Plan constitutes a contract of employment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participation in the Plan will not give any employee the right to be retained in the service of the Company or any Affiliate or to continue in any position or at any level of compensation. Nothing contained in the Plan will prohibit or interfere with the Company’s or an Affiliate’s right to assign projects, tasks and responsibilities to any employee or to alter the nature of the Company’s or an Affiliate’s rights with respect to the employee’s employment relationship, including the right to terminate any employee at any time, with or without prior notice, and for any reason within the constraints of existing law.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2025</w:t>
      </w:r>
    </w:p>
    <w:p>
      <w:pPr>
        <w:sectPr>
          <w:pgSz w:w="11900" w:h="16838" w:orient="portrait"/>
          <w:cols w:equalWidth="0" w:num="1">
            <w:col w:w="11240"/>
          </w:cols>
          <w:pgMar w:left="320" w:top="1422" w:right="339" w:bottom="1440" w:gutter="0" w:footer="0" w:header="0"/>
        </w:sectPr>
      </w:pPr>
    </w:p>
    <w:bookmarkStart w:id="129" w:name="page130"/>
    <w:bookmarkEnd w:id="129"/>
    <w:p>
      <w:pPr>
        <w:spacing w:after="0" w:line="194" w:lineRule="exact"/>
        <w:rPr>
          <w:sz w:val="20"/>
          <w:szCs w:val="20"/>
          <w:color w:val="auto"/>
        </w:rPr>
      </w:pPr>
    </w:p>
    <w:p>
      <w:pPr>
        <w:jc w:val="both"/>
        <w:ind w:left="660" w:hanging="652"/>
        <w:spacing w:after="0" w:line="227" w:lineRule="auto"/>
        <w:tabs>
          <w:tab w:leader="none" w:pos="65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t>
      </w:r>
      <w:r>
        <w:rPr>
          <w:rFonts w:ascii="Times New Roman" w:cs="Times New Roman" w:eastAsia="Times New Roman" w:hAnsi="Times New Roman"/>
          <w:sz w:val="22"/>
          <w:szCs w:val="22"/>
          <w:color w:val="auto"/>
        </w:rPr>
        <w:t>The validity, construction, interpretation, administration and effect of the Plan and any rules, regulations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actions relating to the Plan will be governed by and construed exclusively in accordance with the laws of the United States and the State of Illinois, notwithstanding the conflicts of law principles of any jurisdiction.</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18" w:lineRule="auto"/>
        <w:tabs>
          <w:tab w:leader="none" w:pos="65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Conflict. </w:t>
      </w:r>
      <w:r>
        <w:rPr>
          <w:rFonts w:ascii="Times New Roman" w:cs="Times New Roman" w:eastAsia="Times New Roman" w:hAnsi="Times New Roman"/>
          <w:sz w:val="22"/>
          <w:szCs w:val="22"/>
          <w:color w:val="auto"/>
        </w:rPr>
        <w:t>Notwithstanding anything to the contrary in the Plan, the Plan Rules or Plan administration, the Employer’s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to any employees covered by collective bargaining agreements shall be governed by the applicable terms of such agreements, and any conflict between the terms of the Plan, the Plan Rules or Plan administration and the applicable collective bargaining agreements with respect to such employees shall be resolved in favor of the Employer’s obligations under the applicable collective bargaining agreements.</w:t>
      </w:r>
    </w:p>
    <w:p>
      <w:pPr>
        <w:spacing w:after="0" w:line="200" w:lineRule="exact"/>
        <w:rPr>
          <w:sz w:val="20"/>
          <w:szCs w:val="20"/>
          <w:color w:val="auto"/>
        </w:rPr>
      </w:pPr>
    </w:p>
    <w:p>
      <w:pPr>
        <w:spacing w:after="0" w:line="24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amendment and restatement of the Plan to be executed on its behalf, effective as of January 1, 2025, except as otherwise provided herein.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UNITED AIRLINES HOLDINGS,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Kate Gebo______________________</w:t>
      </w:r>
    </w:p>
    <w:p>
      <w:pPr>
        <w:ind w:left="4060"/>
        <w:spacing w:after="0" w:line="204" w:lineRule="auto"/>
        <w:rPr>
          <w:sz w:val="20"/>
          <w:szCs w:val="20"/>
          <w:color w:val="auto"/>
        </w:rPr>
      </w:pPr>
      <w:r>
        <w:rPr>
          <w:rFonts w:ascii="Times New Roman" w:cs="Times New Roman" w:eastAsia="Times New Roman" w:hAnsi="Times New Roman"/>
          <w:sz w:val="22"/>
          <w:szCs w:val="22"/>
          <w:color w:val="auto"/>
        </w:rPr>
        <w:t>Kate Gebo</w:t>
      </w:r>
    </w:p>
    <w:p>
      <w:pPr>
        <w:ind w:left="4060"/>
        <w:spacing w:after="0" w:line="205" w:lineRule="auto"/>
        <w:rPr>
          <w:sz w:val="20"/>
          <w:szCs w:val="20"/>
          <w:color w:val="auto"/>
        </w:rPr>
      </w:pPr>
      <w:r>
        <w:rPr>
          <w:rFonts w:ascii="Times New Roman" w:cs="Times New Roman" w:eastAsia="Times New Roman" w:hAnsi="Times New Roman"/>
          <w:sz w:val="22"/>
          <w:szCs w:val="22"/>
          <w:color w:val="auto"/>
        </w:rPr>
        <w:t>Executive Vice President</w:t>
      </w:r>
    </w:p>
    <w:p>
      <w:pPr>
        <w:spacing w:after="0" w:line="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Human Resources and Labor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2025</w:t>
      </w:r>
    </w:p>
    <w:p>
      <w:pPr>
        <w:sectPr>
          <w:pgSz w:w="11900" w:h="16838" w:orient="portrait"/>
          <w:cols w:equalWidth="0" w:num="1">
            <w:col w:w="11240"/>
          </w:cols>
          <w:pgMar w:left="320" w:top="1440"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APPENDIX A - WAGES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A-1. </w:t>
      </w:r>
      <w:r>
        <w:rPr>
          <w:rFonts w:ascii="Times New Roman" w:cs="Times New Roman" w:eastAsia="Times New Roman" w:hAnsi="Times New Roman"/>
          <w:sz w:val="22"/>
          <w:szCs w:val="22"/>
          <w:b w:val="1"/>
          <w:bCs w:val="1"/>
          <w:u w:val="single" w:color="auto"/>
          <w:color w:val="auto"/>
        </w:rPr>
        <w:t>Inclusions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Section III.C.1. the following items are included in the definition of Wages:</w:t>
      </w:r>
    </w:p>
    <w:p>
      <w:pPr>
        <w:spacing w:after="0" w:line="224"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base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overtime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holiday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longevity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sick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vacation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lead/purser/service director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high skill premium/longevity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language premium</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international and night flying premium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shift differential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back pay (to the extent such pay is otherwise categorized as Wages) paid in the applicable Plan Year</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delayed activation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bypass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check pilot premium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double town salary expense</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senior/junior manning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operational integrity pay</w:t>
      </w:r>
    </w:p>
    <w:p>
      <w:pPr>
        <w:ind w:left="660" w:hanging="328"/>
        <w:spacing w:after="0" w:line="20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temporary reclass pay</w:t>
      </w: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Hawaiian override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A-2. </w:t>
      </w:r>
      <w:r>
        <w:rPr>
          <w:rFonts w:ascii="Times New Roman" w:cs="Times New Roman" w:eastAsia="Times New Roman" w:hAnsi="Times New Roman"/>
          <w:sz w:val="22"/>
          <w:szCs w:val="22"/>
          <w:b w:val="1"/>
          <w:bCs w:val="1"/>
          <w:u w:val="single" w:color="auto"/>
          <w:color w:val="auto"/>
        </w:rPr>
        <w:t>Exclusions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Section III.C.2. the following items are excluded in the definition of Wages:</w:t>
      </w:r>
    </w:p>
    <w:p>
      <w:pPr>
        <w:spacing w:after="0" w:line="211"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deferred compensation (other than pursuant to Code Sec. 125 or 401(k))</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moving expense and similar allowances</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performance incentive awards, profit sharing awards or sales incentive awards</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expense reimbursements and per diems</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severance, termination pay and related payments</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disability and workers compensation payments</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duty-free commissions</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recognition lump sums</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flight expense</w:t>
      </w:r>
    </w:p>
    <w:p>
      <w:pPr>
        <w:ind w:left="660" w:hanging="328"/>
        <w:spacing w:after="0" w:line="204"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retropay created by execution of a collective bargaining agreement, unless the collective bargaining agreement requires inclusion</w:t>
      </w:r>
    </w:p>
    <w:p>
      <w:pPr>
        <w:spacing w:after="0" w:line="1" w:lineRule="exact"/>
        <w:rPr>
          <w:rFonts w:ascii="Times New Roman" w:cs="Times New Roman" w:eastAsia="Times New Roman" w:hAnsi="Times New Roman"/>
          <w:sz w:val="18"/>
          <w:szCs w:val="18"/>
          <w:color w:val="auto"/>
        </w:rPr>
      </w:pP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reimbursable cleaning</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Employer contributions to employee benefit plans</w:t>
      </w:r>
    </w:p>
    <w:p>
      <w:pPr>
        <w:ind w:left="660" w:hanging="328"/>
        <w:spacing w:after="0" w:line="204"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imputed income of any kind, including, but not limited to, imputed income for employee or dependent life insurance coverage, pass travel, and domestic partner benefits</w:t>
      </w:r>
    </w:p>
    <w:p>
      <w:pPr>
        <w:spacing w:after="0" w:line="1" w:lineRule="exact"/>
        <w:rPr>
          <w:rFonts w:ascii="Times New Roman" w:cs="Times New Roman" w:eastAsia="Times New Roman" w:hAnsi="Times New Roman"/>
          <w:sz w:val="18"/>
          <w:szCs w:val="18"/>
          <w:color w:val="auto"/>
        </w:rPr>
      </w:pP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taxable travel</w:t>
      </w:r>
    </w:p>
    <w:p>
      <w:pPr>
        <w:jc w:val="both"/>
        <w:ind w:left="660" w:hanging="328"/>
        <w:spacing w:after="0" w:line="204"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cash payments made pursuant to any agreement, program, arrangement or plan designed to compensate an employee for amounts that may not be credited or allocated to the employee under a qualified retirement plan due to limitations imposed by tax laws</w:t>
      </w:r>
    </w:p>
    <w:p>
      <w:pPr>
        <w:spacing w:after="0" w:line="2" w:lineRule="exact"/>
        <w:rPr>
          <w:rFonts w:ascii="Times New Roman" w:cs="Times New Roman" w:eastAsia="Times New Roman" w:hAnsi="Times New Roman"/>
          <w:sz w:val="18"/>
          <w:szCs w:val="18"/>
          <w:color w:val="auto"/>
        </w:rPr>
      </w:pP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taxable fringe benefits, including taxable reimbursement of insurance premiums</w:t>
      </w:r>
    </w:p>
    <w:p>
      <w:pPr>
        <w:ind w:left="660" w:hanging="328"/>
        <w:spacing w:after="0" w:line="20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expatriate allowances</w:t>
      </w: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hiring bonuses or other special payments relating to the initiation of employment</w:t>
      </w:r>
    </w:p>
    <w:p>
      <w:pPr>
        <w:spacing w:after="0" w:line="200" w:lineRule="exact"/>
        <w:rPr>
          <w:sz w:val="20"/>
          <w:szCs w:val="20"/>
          <w:color w:val="auto"/>
        </w:rPr>
      </w:pPr>
    </w:p>
    <w:p>
      <w:pPr>
        <w:spacing w:after="0" w:line="34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UAH – PSP</w:t>
      </w:r>
      <w:r>
        <w:rPr>
          <w:sz w:val="20"/>
          <w:szCs w:val="20"/>
          <w:color w:val="auto"/>
        </w:rPr>
        <w:tab/>
      </w:r>
      <w:r>
        <w:rPr>
          <w:rFonts w:ascii="Times New Roman" w:cs="Times New Roman" w:eastAsia="Times New Roman" w:hAnsi="Times New Roman"/>
          <w:sz w:val="17"/>
          <w:szCs w:val="17"/>
          <w:color w:val="auto"/>
        </w:rPr>
        <w:t>January 1,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A-1</w:t>
      </w:r>
    </w:p>
    <w:p>
      <w:pPr>
        <w:sectPr>
          <w:pgSz w:w="11900" w:h="16838" w:orient="portrait"/>
          <w:cols w:equalWidth="0" w:num="1">
            <w:col w:w="11240"/>
          </w:cols>
          <w:pgMar w:left="320" w:top="1407" w:right="339" w:bottom="1440" w:gutter="0" w:footer="0" w:header="0"/>
        </w:sectPr>
      </w:pPr>
    </w:p>
    <w:bookmarkStart w:id="131" w:name="page132"/>
    <w:bookmarkEnd w:id="131"/>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amounts realized with respect to restricted stock, non-qualified stock options or stock appreciation rights</w:t>
      </w:r>
    </w:p>
    <w:p>
      <w:pPr>
        <w:ind w:left="660" w:hanging="328"/>
        <w:spacing w:after="0" w:line="204"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lost luggage advance</w:t>
      </w:r>
    </w:p>
    <w:p>
      <w:pPr>
        <w:ind w:left="660" w:hanging="328"/>
        <w:spacing w:after="0" w:line="204"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interest payments</w:t>
      </w:r>
    </w:p>
    <w:p>
      <w:pPr>
        <w:ind w:left="660" w:hanging="328"/>
        <w:spacing w:after="0" w:line="204"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payments made to employees domiciled outside of the United States that are in lieu of Employer contributions to a retirement plan</w:t>
      </w:r>
    </w:p>
    <w:p>
      <w:pPr>
        <w:spacing w:after="0" w:line="1" w:lineRule="exact"/>
        <w:rPr>
          <w:rFonts w:ascii="Times New Roman" w:cs="Times New Roman" w:eastAsia="Times New Roman" w:hAnsi="Times New Roman"/>
          <w:sz w:val="18"/>
          <w:szCs w:val="18"/>
          <w:color w:val="auto"/>
        </w:rPr>
      </w:pPr>
    </w:p>
    <w:p>
      <w:pPr>
        <w:ind w:left="660" w:hanging="328"/>
        <w:spacing w:after="0" w:line="204"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amount counted as wages under this Plan or any other profit sharing plan for a prior Award Year</w:t>
      </w:r>
    </w:p>
    <w:p>
      <w:pPr>
        <w:ind w:left="660" w:hanging="328"/>
        <w:spacing w:after="0" w:line="230"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amount not included under Section A-1 above as determined in accordance with Section III.C.5</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A-3. </w:t>
      </w:r>
      <w:r>
        <w:rPr>
          <w:rFonts w:ascii="Times New Roman" w:cs="Times New Roman" w:eastAsia="Times New Roman" w:hAnsi="Times New Roman"/>
          <w:sz w:val="22"/>
          <w:szCs w:val="22"/>
          <w:b w:val="1"/>
          <w:bCs w:val="1"/>
          <w:u w:val="single" w:color="auto"/>
          <w:color w:val="auto"/>
        </w:rPr>
        <w:t>Special Crediting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allocating Wages earned by a Qualified Employee for services rendered during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Year but received following termination of employment, such Wages will be treated as received on the Qualified Employee’s last day of employment with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UAH – PSP</w:t>
      </w:r>
      <w:r>
        <w:rPr>
          <w:sz w:val="20"/>
          <w:szCs w:val="20"/>
          <w:color w:val="auto"/>
        </w:rPr>
        <w:tab/>
      </w:r>
      <w:r>
        <w:rPr>
          <w:rFonts w:ascii="Times New Roman" w:cs="Times New Roman" w:eastAsia="Times New Roman" w:hAnsi="Times New Roman"/>
          <w:sz w:val="17"/>
          <w:szCs w:val="17"/>
          <w:color w:val="auto"/>
        </w:rPr>
        <w:t>January 1,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A-2</w:t>
      </w:r>
    </w:p>
    <w:p>
      <w:pPr>
        <w:sectPr>
          <w:pgSz w:w="11900" w:h="16838" w:orient="portrait"/>
          <w:cols w:equalWidth="0" w:num="1">
            <w:col w:w="11240"/>
          </w:cols>
          <w:pgMar w:left="320" w:top="1382"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2"/>
          <w:szCs w:val="22"/>
          <w:b w:val="1"/>
          <w:bCs w:val="1"/>
          <w:color w:val="auto"/>
        </w:rPr>
        <w:t>APPENDIX B - FACTORS</w:t>
      </w:r>
    </w:p>
    <w:p>
      <w:pPr>
        <w:spacing w:after="0" w:line="200" w:lineRule="exact"/>
        <w:rPr>
          <w:sz w:val="20"/>
          <w:szCs w:val="20"/>
          <w:color w:val="auto"/>
        </w:rPr>
      </w:pPr>
    </w:p>
    <w:p>
      <w:pPr>
        <w:spacing w:after="0" w:line="287" w:lineRule="exact"/>
        <w:rPr>
          <w:sz w:val="20"/>
          <w:szCs w:val="20"/>
          <w:color w:val="auto"/>
        </w:rPr>
      </w:pPr>
    </w:p>
    <w:tbl>
      <w:tblPr>
        <w:tblLayout w:type="fixed"/>
        <w:tblInd w:w="90" w:type="dxa"/>
        <w:tblCellMar>
          <w:top w:w="0" w:type="dxa"/>
          <w:left w:w="0" w:type="dxa"/>
          <w:bottom w:w="0" w:type="dxa"/>
          <w:right w:w="0" w:type="dxa"/>
        </w:tblCellMar>
      </w:tblPr>
      <w:tr>
        <w:trPr>
          <w:trHeight w:val="207"/>
        </w:trPr>
        <w:tc>
          <w:tcPr>
            <w:tcW w:w="100" w:type="dxa"/>
            <w:vAlign w:val="bottom"/>
            <w:tcBorders>
              <w:top w:val="single" w:sz="8" w:color="auto"/>
              <w:left w:val="single" w:sz="8" w:color="auto"/>
            </w:tcBorders>
            <w:shd w:val="clear" w:color="auto" w:fill="BFBFBF"/>
          </w:tcPr>
          <w:p>
            <w:pPr>
              <w:spacing w:after="0"/>
              <w:rPr>
                <w:sz w:val="17"/>
                <w:szCs w:val="17"/>
                <w:color w:val="auto"/>
              </w:rPr>
            </w:pPr>
          </w:p>
        </w:tc>
        <w:tc>
          <w:tcPr>
            <w:tcW w:w="860" w:type="dxa"/>
            <w:vAlign w:val="bottom"/>
            <w:tcBorders>
              <w:top w:val="single" w:sz="8" w:color="auto"/>
            </w:tcBorders>
            <w:shd w:val="clear" w:color="auto" w:fill="BFBFBF"/>
          </w:tcPr>
          <w:p>
            <w:pPr>
              <w:spacing w:after="0"/>
              <w:rPr>
                <w:sz w:val="17"/>
                <w:szCs w:val="17"/>
                <w:color w:val="auto"/>
              </w:rPr>
            </w:pPr>
          </w:p>
        </w:tc>
        <w:tc>
          <w:tcPr>
            <w:tcW w:w="340" w:type="dxa"/>
            <w:vAlign w:val="bottom"/>
            <w:tcBorders>
              <w:top w:val="single" w:sz="8" w:color="auto"/>
            </w:tcBorders>
            <w:shd w:val="clear" w:color="auto" w:fill="BFBFBF"/>
          </w:tcPr>
          <w:p>
            <w:pPr>
              <w:spacing w:after="0"/>
              <w:rPr>
                <w:sz w:val="17"/>
                <w:szCs w:val="17"/>
                <w:color w:val="auto"/>
              </w:rPr>
            </w:pPr>
          </w:p>
        </w:tc>
        <w:tc>
          <w:tcPr>
            <w:tcW w:w="2580" w:type="dxa"/>
            <w:vAlign w:val="bottom"/>
            <w:tcBorders>
              <w:top w:val="single" w:sz="8" w:color="auto"/>
              <w:right w:val="single" w:sz="8" w:color="auto"/>
            </w:tcBorders>
            <w:vMerge w:val="restart"/>
            <w:shd w:val="clear" w:color="auto" w:fill="BFBFBF"/>
          </w:tcPr>
          <w:p>
            <w:pPr>
              <w:ind w:left="200"/>
              <w:spacing w:after="0"/>
              <w:rPr>
                <w:sz w:val="20"/>
                <w:szCs w:val="20"/>
                <w:color w:val="auto"/>
              </w:rPr>
            </w:pPr>
            <w:r>
              <w:rPr>
                <w:rFonts w:ascii="Arial" w:cs="Arial" w:eastAsia="Arial" w:hAnsi="Arial"/>
                <w:sz w:val="14"/>
                <w:szCs w:val="14"/>
                <w:b w:val="1"/>
                <w:bCs w:val="1"/>
                <w:color w:val="auto"/>
              </w:rPr>
              <w:t>Labor Group</w:t>
            </w:r>
          </w:p>
        </w:tc>
        <w:tc>
          <w:tcPr>
            <w:tcW w:w="266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rPr>
              <w:t>Union Representation</w:t>
            </w:r>
          </w:p>
        </w:tc>
        <w:tc>
          <w:tcPr>
            <w:tcW w:w="24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Factor for</w:t>
            </w:r>
          </w:p>
        </w:tc>
        <w:tc>
          <w:tcPr>
            <w:tcW w:w="21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Factor for</w:t>
            </w:r>
          </w:p>
        </w:tc>
        <w:tc>
          <w:tcPr>
            <w:tcW w:w="0" w:type="dxa"/>
            <w:vAlign w:val="bottom"/>
          </w:tcPr>
          <w:p>
            <w:pPr>
              <w:spacing w:after="0"/>
              <w:rPr>
                <w:sz w:val="1"/>
                <w:szCs w:val="1"/>
                <w:color w:val="auto"/>
              </w:rPr>
            </w:pPr>
          </w:p>
        </w:tc>
      </w:tr>
      <w:tr>
        <w:trPr>
          <w:trHeight w:val="102"/>
        </w:trPr>
        <w:tc>
          <w:tcPr>
            <w:tcW w:w="100" w:type="dxa"/>
            <w:vAlign w:val="bottom"/>
            <w:tcBorders>
              <w:left w:val="single" w:sz="8" w:color="auto"/>
            </w:tcBorders>
            <w:shd w:val="clear" w:color="auto" w:fill="BFBFBF"/>
          </w:tcPr>
          <w:p>
            <w:pPr>
              <w:spacing w:after="0"/>
              <w:rPr>
                <w:sz w:val="8"/>
                <w:szCs w:val="8"/>
                <w:color w:val="auto"/>
              </w:rPr>
            </w:pPr>
          </w:p>
        </w:tc>
        <w:tc>
          <w:tcPr>
            <w:tcW w:w="860" w:type="dxa"/>
            <w:vAlign w:val="bottom"/>
            <w:shd w:val="clear" w:color="auto" w:fill="BFBFBF"/>
          </w:tcPr>
          <w:p>
            <w:pPr>
              <w:spacing w:after="0"/>
              <w:rPr>
                <w:sz w:val="8"/>
                <w:szCs w:val="8"/>
                <w:color w:val="auto"/>
              </w:rPr>
            </w:pPr>
          </w:p>
        </w:tc>
        <w:tc>
          <w:tcPr>
            <w:tcW w:w="340" w:type="dxa"/>
            <w:vAlign w:val="bottom"/>
            <w:shd w:val="clear" w:color="auto" w:fill="BFBFBF"/>
          </w:tcPr>
          <w:p>
            <w:pPr>
              <w:spacing w:after="0"/>
              <w:rPr>
                <w:sz w:val="8"/>
                <w:szCs w:val="8"/>
                <w:color w:val="auto"/>
              </w:rPr>
            </w:pPr>
          </w:p>
        </w:tc>
        <w:tc>
          <w:tcPr>
            <w:tcW w:w="2580" w:type="dxa"/>
            <w:vAlign w:val="bottom"/>
            <w:tcBorders>
              <w:right w:val="single" w:sz="8" w:color="auto"/>
            </w:tcBorders>
            <w:vMerge w:val="continue"/>
            <w:shd w:val="clear" w:color="auto" w:fill="BFBFBF"/>
          </w:tcPr>
          <w:p>
            <w:pPr>
              <w:spacing w:after="0"/>
              <w:rPr>
                <w:sz w:val="8"/>
                <w:szCs w:val="8"/>
                <w:color w:val="auto"/>
              </w:rPr>
            </w:pPr>
          </w:p>
        </w:tc>
        <w:tc>
          <w:tcPr>
            <w:tcW w:w="2660" w:type="dxa"/>
            <w:vAlign w:val="bottom"/>
            <w:tcBorders>
              <w:right w:val="single" w:sz="8" w:color="auto"/>
            </w:tcBorders>
            <w:vMerge w:val="continue"/>
            <w:shd w:val="clear" w:color="auto" w:fill="BFBFBF"/>
          </w:tcPr>
          <w:p>
            <w:pPr>
              <w:spacing w:after="0"/>
              <w:rPr>
                <w:sz w:val="8"/>
                <w:szCs w:val="8"/>
                <w:color w:val="auto"/>
              </w:rPr>
            </w:pPr>
          </w:p>
        </w:tc>
        <w:tc>
          <w:tcPr>
            <w:tcW w:w="248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rPr>
              <w:t>Base Percentage A</w:t>
            </w:r>
          </w:p>
        </w:tc>
        <w:tc>
          <w:tcPr>
            <w:tcW w:w="21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rPr>
              <w:t>Base Percentage B</w:t>
            </w:r>
          </w:p>
        </w:tc>
        <w:tc>
          <w:tcPr>
            <w:tcW w:w="0" w:type="dxa"/>
            <w:vAlign w:val="bottom"/>
          </w:tcPr>
          <w:p>
            <w:pPr>
              <w:spacing w:after="0"/>
              <w:rPr>
                <w:sz w:val="1"/>
                <w:szCs w:val="1"/>
                <w:color w:val="auto"/>
              </w:rPr>
            </w:pPr>
          </w:p>
        </w:tc>
      </w:tr>
      <w:tr>
        <w:trPr>
          <w:trHeight w:val="104"/>
        </w:trPr>
        <w:tc>
          <w:tcPr>
            <w:tcW w:w="100" w:type="dxa"/>
            <w:vAlign w:val="bottom"/>
            <w:tcBorders>
              <w:left w:val="single" w:sz="8" w:color="auto"/>
              <w:bottom w:val="single" w:sz="8" w:color="auto"/>
            </w:tcBorders>
            <w:shd w:val="clear" w:color="auto" w:fill="BFBFBF"/>
          </w:tcPr>
          <w:p>
            <w:pPr>
              <w:spacing w:after="0"/>
              <w:rPr>
                <w:sz w:val="9"/>
                <w:szCs w:val="9"/>
                <w:color w:val="auto"/>
              </w:rPr>
            </w:pPr>
          </w:p>
        </w:tc>
        <w:tc>
          <w:tcPr>
            <w:tcW w:w="860" w:type="dxa"/>
            <w:vAlign w:val="bottom"/>
            <w:tcBorders>
              <w:bottom w:val="single" w:sz="8" w:color="auto"/>
            </w:tcBorders>
            <w:shd w:val="clear" w:color="auto" w:fill="BFBFBF"/>
          </w:tcPr>
          <w:p>
            <w:pPr>
              <w:spacing w:after="0"/>
              <w:rPr>
                <w:sz w:val="9"/>
                <w:szCs w:val="9"/>
                <w:color w:val="auto"/>
              </w:rPr>
            </w:pPr>
          </w:p>
        </w:tc>
        <w:tc>
          <w:tcPr>
            <w:tcW w:w="340" w:type="dxa"/>
            <w:vAlign w:val="bottom"/>
            <w:tcBorders>
              <w:bottom w:val="single" w:sz="8" w:color="auto"/>
            </w:tcBorders>
            <w:shd w:val="clear" w:color="auto" w:fill="BFBFBF"/>
          </w:tcPr>
          <w:p>
            <w:pPr>
              <w:spacing w:after="0"/>
              <w:rPr>
                <w:sz w:val="9"/>
                <w:szCs w:val="9"/>
                <w:color w:val="auto"/>
              </w:rPr>
            </w:pPr>
          </w:p>
        </w:tc>
        <w:tc>
          <w:tcPr>
            <w:tcW w:w="2580" w:type="dxa"/>
            <w:vAlign w:val="bottom"/>
            <w:tcBorders>
              <w:bottom w:val="single" w:sz="8" w:color="auto"/>
              <w:right w:val="single" w:sz="8" w:color="auto"/>
            </w:tcBorders>
            <w:shd w:val="clear" w:color="auto" w:fill="BFBFBF"/>
          </w:tcPr>
          <w:p>
            <w:pPr>
              <w:spacing w:after="0"/>
              <w:rPr>
                <w:sz w:val="9"/>
                <w:szCs w:val="9"/>
                <w:color w:val="auto"/>
              </w:rPr>
            </w:pPr>
          </w:p>
        </w:tc>
        <w:tc>
          <w:tcPr>
            <w:tcW w:w="2660" w:type="dxa"/>
            <w:vAlign w:val="bottom"/>
            <w:tcBorders>
              <w:bottom w:val="single" w:sz="8" w:color="auto"/>
              <w:right w:val="single" w:sz="8" w:color="auto"/>
            </w:tcBorders>
            <w:shd w:val="clear" w:color="auto" w:fill="BFBFBF"/>
          </w:tcPr>
          <w:p>
            <w:pPr>
              <w:spacing w:after="0"/>
              <w:rPr>
                <w:sz w:val="9"/>
                <w:szCs w:val="9"/>
                <w:color w:val="auto"/>
              </w:rPr>
            </w:pPr>
          </w:p>
        </w:tc>
        <w:tc>
          <w:tcPr>
            <w:tcW w:w="248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214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Represented</w:t>
            </w:r>
          </w:p>
        </w:tc>
        <w:tc>
          <w:tcPr>
            <w:tcW w:w="266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left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Assistant Manager – A/C Inspector Outside Vendor</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IBT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Central Load Planners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IAM</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Customer Service Representatives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IAM</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Dispatchers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PAFCA</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Fleet Service Employees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IAM</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Fleet Technical Instructors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IAM</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Flight Attendants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AFA</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Guards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IAM</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Line Planners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IBT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Maintenance Controllers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IBT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Maintenance Instructors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IAM</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Pilots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ALPA</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Reservations Representatives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IAM</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Senior Staff Reps – Maint, Control Tech</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IBT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Senior Staff Technical Writers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IAM</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Storekeeper Employees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IAM</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Technicians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IBT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Non-Represented</w:t>
            </w:r>
          </w:p>
        </w:tc>
        <w:tc>
          <w:tcPr>
            <w:tcW w:w="266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00" w:type="dxa"/>
            <w:vAlign w:val="bottom"/>
            <w:tcBorders>
              <w:left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Flight Qualified Management</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None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Management &amp; Administrative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None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1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UAH – PSP</w:t>
      </w:r>
      <w:r>
        <w:rPr>
          <w:sz w:val="20"/>
          <w:szCs w:val="20"/>
          <w:color w:val="auto"/>
        </w:rPr>
        <w:tab/>
      </w:r>
      <w:r>
        <w:rPr>
          <w:rFonts w:ascii="Times New Roman" w:cs="Times New Roman" w:eastAsia="Times New Roman" w:hAnsi="Times New Roman"/>
          <w:sz w:val="17"/>
          <w:szCs w:val="17"/>
          <w:color w:val="auto"/>
        </w:rPr>
        <w:t>January 1,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B-1</w:t>
      </w:r>
    </w:p>
    <w:p>
      <w:pPr>
        <w:sectPr>
          <w:pgSz w:w="11900" w:h="16838" w:orient="portrait"/>
          <w:cols w:equalWidth="0" w:num="1">
            <w:col w:w="11240"/>
          </w:cols>
          <w:pgMar w:left="320" w:top="1417" w:right="339" w:bottom="1440" w:gutter="0" w:footer="0" w:header="0"/>
        </w:sectPr>
      </w:pPr>
    </w:p>
    <w:bookmarkStart w:id="133" w:name="page134"/>
    <w:bookmarkEnd w:id="133"/>
    <w:p>
      <w:pPr>
        <w:ind w:left="10020"/>
        <w:spacing w:after="0"/>
        <w:rPr>
          <w:sz w:val="20"/>
          <w:szCs w:val="20"/>
          <w:color w:val="auto"/>
        </w:rPr>
      </w:pPr>
      <w:r>
        <w:rPr>
          <w:rFonts w:ascii="Times New Roman" w:cs="Times New Roman" w:eastAsia="Times New Roman" w:hAnsi="Times New Roman"/>
          <w:sz w:val="21"/>
          <w:szCs w:val="21"/>
          <w:b w:val="1"/>
          <w:bCs w:val="1"/>
          <w:color w:val="auto"/>
        </w:rPr>
        <w:t>Exhibit 10.29</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CERTAIN IDENTIFIED INFORMATION HAS BEEN EXCLUDED FROM THE EXHIBIT BECAUSE IT IS BOTH NOT MATERIAL AND IS THE TYPE THAT THE REGISTRANT TREATS AS PRIVATE OR CONFIDENTIAL. OMITTED INFORMATION HAS BEEN REPLACED WITH ASTERISKS.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AMENDMENT NO. 9</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TO THE AMENDED AND RESTATED A350-900 PURCHASE AGREEMENT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as of September 1, 2017</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between</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AIRBUS S.A.S.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UNITED AIRLINES, INC.</w:t>
      </w:r>
    </w:p>
    <w:p>
      <w:pPr>
        <w:spacing w:after="0" w:line="200" w:lineRule="exact"/>
        <w:rPr>
          <w:sz w:val="20"/>
          <w:szCs w:val="20"/>
          <w:color w:val="auto"/>
        </w:rPr>
      </w:pPr>
    </w:p>
    <w:p>
      <w:pPr>
        <w:spacing w:after="0" w:line="3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This Amendment No. 9 to the Amended and Restated A350-900 Purchase Agreement between Airbus S.A.S. and United Airlines, Inc. (hereinafter referred to as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xml:space="preserve">”) is entered into as of December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xml:space="preserve">, 2025 by and between AIRBUS S.A.S., a </w:t>
      </w:r>
      <w:r>
        <w:rPr>
          <w:rFonts w:ascii="Times New Roman" w:cs="Times New Roman" w:eastAsia="Times New Roman" w:hAnsi="Times New Roman"/>
          <w:sz w:val="21"/>
          <w:szCs w:val="21"/>
          <w:i w:val="1"/>
          <w:iCs w:val="1"/>
          <w:color w:val="auto"/>
        </w:rPr>
        <w:t>société par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actions simplifiée</w:t>
      </w:r>
      <w:r>
        <w:rPr>
          <w:rFonts w:ascii="Times New Roman" w:cs="Times New Roman" w:eastAsia="Times New Roman" w:hAnsi="Times New Roman"/>
          <w:sz w:val="21"/>
          <w:szCs w:val="21"/>
          <w:color w:val="auto"/>
        </w:rPr>
        <w:t>, organized and existing under the laws of the Republic of France, having its registered office located at 2, Rond Point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Emile Dewoitine, 31700 Blagnac, France (hereinafter referred to as the “</w:t>
      </w: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 and UNITED AIRLINES, INC., a corporation organized and existing under the laws of the State of Delaware, United States of America, having its principal corporate offices located at 233 South Wacker Drive, Chicago, Illinois 60606, U.S.A. (hereinafter referred to as the “</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WITNESSETH:</w:t>
      </w:r>
    </w:p>
    <w:p>
      <w:pPr>
        <w:spacing w:after="0" w:line="2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WHEREAS, the Buyer and the Seller entered into the Amended and Restated A350-900 Purchase Agreement, dated as of September 1, 2017 which, together with all Exhibits, Appendices and Letter Agreements attached thereto and as amended, modified or supplemented from time to time is hereinafter called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WHEREAS, the Buyer and the Seller are ***, and ***, and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WHEREAS, the Buyer and the Seller have agreed to amend certain terms of the Agreement as set forth herein.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NOW, THEREFORE, IT IS AGREED AS FOLLOWS:</w:t>
      </w:r>
    </w:p>
    <w:p>
      <w:pPr>
        <w:spacing w:after="0" w:line="24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p>
    <w:p>
      <w:pPr>
        <w:spacing w:after="0" w:line="217" w:lineRule="exact"/>
        <w:rPr>
          <w:rFonts w:ascii="Times New Roman" w:cs="Times New Roman" w:eastAsia="Times New Roman" w:hAnsi="Times New Roman"/>
          <w:sz w:val="21"/>
          <w:szCs w:val="21"/>
          <w:color w:val="auto"/>
        </w:rPr>
      </w:pPr>
    </w:p>
    <w:p>
      <w:pPr>
        <w:ind w:left="660" w:right="2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Capitalized terms used herein and not otherwise expressly defined in this Amendment shall have the meanings assigned thereto in the Agreement. The terms “herein”, “hereof”, and “hereunder” and words of similar import refer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720"/>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Amendment No. 9 AM9-1 AIRBUS S.A.S. &amp; UNITED AIRLINES, INC. – PROPRIETARY AND CONFIDENTIAL</w:t>
      </w:r>
    </w:p>
    <w:p>
      <w:pPr>
        <w:sectPr>
          <w:pgSz w:w="11900" w:h="16838" w:orient="portrait"/>
          <w:cols w:equalWidth="0" w:num="1">
            <w:col w:w="11240"/>
          </w:cols>
          <w:pgMar w:left="320" w:top="121" w:right="339" w:bottom="1440" w:gutter="0" w:footer="0" w:header="0"/>
        </w:sectPr>
      </w:pPr>
    </w:p>
    <w:bookmarkStart w:id="134" w:name="page135"/>
    <w:bookmarkEnd w:id="134"/>
    <w:p>
      <w:pPr>
        <w:spacing w:after="0" w:line="314"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AGREEMENTS</w:t>
      </w:r>
    </w:p>
    <w:p>
      <w:pPr>
        <w:spacing w:after="0" w:line="217" w:lineRule="exact"/>
        <w:rPr>
          <w:rFonts w:ascii="Times New Roman" w:cs="Times New Roman" w:eastAsia="Times New Roman" w:hAnsi="Times New Roman"/>
          <w:sz w:val="21"/>
          <w:szCs w:val="21"/>
          <w:color w:val="auto"/>
        </w:rPr>
      </w:pPr>
    </w:p>
    <w:p>
      <w:pPr>
        <w:ind w:left="660" w:right="20"/>
        <w:spacing w:after="0" w:line="28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Amended and Restated Letter Agreement No. 14 to the Agreement dated as of September 24, 2025 is hereby deleted and replaced with the Amended and Restated Letter Agreement No. 14 dated as of even date herewith.</w:t>
      </w:r>
    </w:p>
    <w:p>
      <w:pPr>
        <w:spacing w:after="0" w:line="173"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THE AMENDMENT</w:t>
      </w:r>
    </w:p>
    <w:p>
      <w:pPr>
        <w:spacing w:after="0" w:line="244" w:lineRule="exact"/>
        <w:rPr>
          <w:rFonts w:ascii="Times New Roman" w:cs="Times New Roman" w:eastAsia="Times New Roman" w:hAnsi="Times New Roman"/>
          <w:sz w:val="21"/>
          <w:szCs w:val="21"/>
          <w:color w:val="auto"/>
        </w:rPr>
      </w:pPr>
    </w:p>
    <w:p>
      <w:pPr>
        <w:jc w:val="both"/>
        <w:ind w:left="660"/>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Agreement shall be deemed amended to the extent herein provided, and, except as specifically amended hereby, shall continue in full force and effect in accordance with its original terms. This Amendment supersedes any previous understandings, commitments, or representations whatsoever, whether oral or written, related to the subject matter of this Amendment.</w:t>
      </w:r>
    </w:p>
    <w:p>
      <w:pPr>
        <w:spacing w:after="0" w:line="195" w:lineRule="exact"/>
        <w:rPr>
          <w:rFonts w:ascii="Times New Roman" w:cs="Times New Roman" w:eastAsia="Times New Roman" w:hAnsi="Times New Roman"/>
          <w:sz w:val="21"/>
          <w:szCs w:val="21"/>
          <w:color w:val="auto"/>
        </w:rPr>
      </w:pPr>
    </w:p>
    <w:p>
      <w:pPr>
        <w:jc w:val="both"/>
        <w:ind w:left="66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parties agree that this Amendment shall constitute an integral, non-severable part of the Agreement, that the provisions of the Agreement are hereby incorporated herein by reference, and that this Amendment shall be governed by the provisions of the Agreement, except that if the Agreement and this Amendment have specific provisions that are inconsistent, the specific provisions contained in this Amendment shall govern.</w:t>
      </w:r>
    </w:p>
    <w:p>
      <w:pPr>
        <w:spacing w:after="0" w:line="202"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w:t>
      </w:r>
    </w:p>
    <w:p>
      <w:pPr>
        <w:spacing w:after="0" w:line="217"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Amendment and the rights and obligations of the parties shall be subject to the provisions of Clause 21 of the Agreement.</w:t>
      </w:r>
    </w:p>
    <w:p>
      <w:pPr>
        <w:spacing w:after="0" w:line="243"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This Amendment is subject to the terms and conditions of Clause 22.10 of the Agreement.</w:t>
      </w:r>
    </w:p>
    <w:p>
      <w:pPr>
        <w:spacing w:after="0" w:line="231"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governing law shall be as set forth in Clause 22.6 of the Agreement.</w:t>
      </w:r>
    </w:p>
    <w:p>
      <w:pPr>
        <w:spacing w:after="0" w:line="24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p>
    <w:p>
      <w:pPr>
        <w:spacing w:after="0" w:line="217" w:lineRule="exact"/>
        <w:rPr>
          <w:rFonts w:ascii="Times New Roman" w:cs="Times New Roman" w:eastAsia="Times New Roman" w:hAnsi="Times New Roman"/>
          <w:sz w:val="21"/>
          <w:szCs w:val="21"/>
          <w:color w:val="auto"/>
        </w:rPr>
      </w:pPr>
    </w:p>
    <w:p>
      <w:pPr>
        <w:ind w:left="660"/>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by the parties hereto in separate counterparts, each of which when so executed and delivered will be an original, but all such counterparts will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720"/>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Amendment No. 9 AM9-2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this Amendment was entered into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John Gebo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John Gebo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SVP Treasury, Fleet &amp; Fuel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AIRBUS S.A.S.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Paul Meijers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Paul Meijers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Executive Vice President, Commercial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CT1706024 – Amended and Restated A350-900 Purchase Agreement – Amendment No. 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AIRBUS S.A.S. &amp; UNITED AIRLINES, INC. – PROPRIETARY AND CONFIDENTIAL</w:t>
      </w:r>
    </w:p>
    <w:p>
      <w:pPr>
        <w:sectPr>
          <w:pgSz w:w="11900" w:h="16838" w:orient="portrait"/>
          <w:cols w:equalWidth="0" w:num="1">
            <w:col w:w="10139"/>
          </w:cols>
          <w:pgMar w:left="320" w:top="1440" w:right="1440" w:bottom="1440" w:gutter="0" w:footer="0" w:header="0"/>
        </w:sectPr>
      </w:pPr>
    </w:p>
    <w:bookmarkStart w:id="136" w:name="page137"/>
    <w:bookmarkEnd w:id="136"/>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 AGREEMENT NO. 14</w:t>
      </w:r>
    </w:p>
    <w:p>
      <w:pPr>
        <w:spacing w:after="0" w:line="23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TO THE AMENDED AND RESTATED</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A350-900 PURCHASE AGREEMENT</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 of December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-13970</wp:posOffset>
            </wp:positionV>
            <wp:extent cx="1714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7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AIRCRAFT ORDER MATTERS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Ladies and Gentlemen,</w:t>
      </w:r>
    </w:p>
    <w:p>
      <w:pPr>
        <w:spacing w:after="0" w:line="2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UNITED AIRLINES, INC. (the “</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and AIRBUS S.A.S. (the “</w:t>
      </w: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 have entered into an Amended and Restated A350-900 Purchase Agreement dated as of September 1, 2017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which covers, among other things, the sale by the Seller and the purchase by the Buyer of certain Aircraft, under the terms and conditions set forth in said Agreement. The Buyer and the Seller have agreed to set forth in this Amended and Restated Letter Agreement No. 14 (this “</w:t>
      </w:r>
      <w:r>
        <w:rPr>
          <w:rFonts w:ascii="Times New Roman" w:cs="Times New Roman" w:eastAsia="Times New Roman" w:hAnsi="Times New Roman"/>
          <w:sz w:val="21"/>
          <w:szCs w:val="21"/>
          <w:b w:val="1"/>
          <w:bCs w:val="1"/>
          <w:color w:val="auto"/>
        </w:rPr>
        <w:t>Letter Agreement</w:t>
      </w:r>
      <w:r>
        <w:rPr>
          <w:rFonts w:ascii="Times New Roman" w:cs="Times New Roman" w:eastAsia="Times New Roman" w:hAnsi="Times New Roman"/>
          <w:sz w:val="21"/>
          <w:szCs w:val="21"/>
          <w:color w:val="auto"/>
        </w:rPr>
        <w:t>”) certain additional terms and conditions regarding the sale of the Aircraft. Amended and Restated Letter Agreement No. 14 dated as of September 24, 2025 to the Agreement is hereby amended and restated in its entirety to read as set forth herein. Capitalized terms used herein and not otherwise defined in this Letter Agreement will have the meanings assigned thereto in the Agreement. The terms “herein,” “hereof” and “hereunder” and words of similar import refer to this Letter Agreement.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5320"/>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A&amp;R LA14-1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137" w:name="page138"/>
    <w:bookmarkEnd w:id="137"/>
    <w:p>
      <w:pPr>
        <w:ind w:left="660" w:hanging="652"/>
        <w:spacing w:after="0"/>
        <w:tabs>
          <w:tab w:leader="none" w:pos="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02" w:lineRule="exact"/>
        <w:rPr>
          <w:sz w:val="20"/>
          <w:szCs w:val="20"/>
          <w:color w:val="auto"/>
        </w:rPr>
      </w:pPr>
    </w:p>
    <w:p>
      <w:pPr>
        <w:ind w:left="660" w:right="2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The Seller offers the Buyer the *** certain Aircraft under the Agreement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subject to the following terms and conditions:</w:t>
      </w:r>
    </w:p>
    <w:p>
      <w:pPr>
        <w:spacing w:after="0" w:line="204" w:lineRule="exact"/>
        <w:rPr>
          <w:sz w:val="20"/>
          <w:szCs w:val="20"/>
          <w:color w:val="auto"/>
        </w:rPr>
      </w:pPr>
    </w:p>
    <w:p>
      <w:pPr>
        <w:ind w:left="1300" w:hanging="644"/>
        <w:spacing w:after="0" w:line="271" w:lineRule="auto"/>
        <w:tabs>
          <w:tab w:leader="none" w:pos="128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is only granted to the Buyer for *** of the following Aircraft which are included in the Buyer’s *** order of *** Aircraft, as follows (each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62" w:lineRule="exact"/>
        <w:rPr>
          <w:sz w:val="20"/>
          <w:szCs w:val="20"/>
          <w:color w:val="auto"/>
        </w:rPr>
      </w:pPr>
    </w:p>
    <w:tbl>
      <w:tblPr>
        <w:tblLayout w:type="fixed"/>
        <w:tblInd w:w="1320" w:type="dxa"/>
        <w:tblCellMar>
          <w:top w:w="0" w:type="dxa"/>
          <w:left w:w="0" w:type="dxa"/>
          <w:bottom w:w="0" w:type="dxa"/>
          <w:right w:w="0" w:type="dxa"/>
        </w:tblCellMar>
      </w:tblPr>
      <w:tr>
        <w:trPr>
          <w:trHeight w:val="253"/>
        </w:trPr>
        <w:tc>
          <w:tcPr>
            <w:tcW w:w="32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Aircraft number  Aircraft type</w:t>
            </w:r>
          </w:p>
        </w:tc>
        <w:tc>
          <w:tcPr>
            <w:tcW w:w="160" w:type="dxa"/>
            <w:vAlign w:val="bottom"/>
          </w:tcPr>
          <w:p>
            <w:pPr>
              <w:spacing w:after="0"/>
              <w:rPr>
                <w:sz w:val="22"/>
                <w:szCs w:val="22"/>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w w:val="97"/>
              </w:rPr>
              <w:t>Scheduled Delivery</w:t>
            </w:r>
          </w:p>
        </w:tc>
      </w:tr>
      <w:tr>
        <w:trPr>
          <w:trHeight w:val="250"/>
        </w:trPr>
        <w:tc>
          <w:tcPr>
            <w:tcW w:w="1160" w:type="dxa"/>
            <w:vAlign w:val="bottom"/>
            <w:tcBorders>
              <w:top w:val="single" w:sz="8" w:color="auto"/>
            </w:tcBorders>
            <w:gridSpan w:val="3"/>
          </w:tcPr>
          <w:p>
            <w:pPr>
              <w:ind w:left="760"/>
              <w:spacing w:after="0" w:line="250"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506"/>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w:t>
            </w:r>
          </w:p>
        </w:tc>
      </w:tr>
      <w:tr>
        <w:trPr>
          <w:trHeight w:val="256"/>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40" w:type="dxa"/>
            <w:vAlign w:val="bottom"/>
          </w:tcPr>
          <w:p>
            <w:pPr>
              <w:spacing w:after="0"/>
              <w:rPr>
                <w:sz w:val="23"/>
                <w:szCs w:val="23"/>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40" w:type="dxa"/>
            <w:vAlign w:val="bottom"/>
          </w:tcPr>
          <w:p>
            <w:pPr>
              <w:spacing w:after="0"/>
              <w:rPr>
                <w:sz w:val="22"/>
                <w:szCs w:val="22"/>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r>
      <w:tr>
        <w:trPr>
          <w:trHeight w:val="256"/>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40" w:type="dxa"/>
            <w:vAlign w:val="bottom"/>
          </w:tcPr>
          <w:p>
            <w:pPr>
              <w:spacing w:after="0"/>
              <w:rPr>
                <w:sz w:val="22"/>
                <w:szCs w:val="22"/>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40" w:type="dxa"/>
            <w:vAlign w:val="bottom"/>
          </w:tcPr>
          <w:p>
            <w:pPr>
              <w:spacing w:after="0"/>
              <w:rPr>
                <w:sz w:val="24"/>
                <w:szCs w:val="2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70" w:lineRule="exact"/>
        <w:rPr>
          <w:sz w:val="20"/>
          <w:szCs w:val="20"/>
          <w:color w:val="auto"/>
        </w:rPr>
      </w:pPr>
    </w:p>
    <w:p>
      <w:pPr>
        <w:ind w:left="1300" w:hanging="644"/>
        <w:spacing w:after="0" w:line="275" w:lineRule="auto"/>
        <w:tabs>
          <w:tab w:leader="none" w:pos="129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will give the *** a one-time written notice of *** on a date falling between *** and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Such notice shall identify all of the *** with respect to which the Buyer ***.</w:t>
      </w:r>
    </w:p>
    <w:p>
      <w:pPr>
        <w:spacing w:after="0" w:line="176" w:lineRule="exact"/>
        <w:rPr>
          <w:rFonts w:ascii="Times New Roman" w:cs="Times New Roman" w:eastAsia="Times New Roman" w:hAnsi="Times New Roman"/>
          <w:sz w:val="22"/>
          <w:szCs w:val="22"/>
          <w:color w:val="auto"/>
        </w:rPr>
      </w:pPr>
    </w:p>
    <w:p>
      <w:pPr>
        <w:ind w:left="1300" w:hanging="644"/>
        <w:spacing w:after="0" w:line="299" w:lineRule="auto"/>
        <w:tabs>
          <w:tab w:leader="none" w:pos="13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 for which the (x) *** or (y) *** under the conditions set out in this Clause 1 shall be referred to as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and the order for such particular Aircraft will be deemed ***, and the terms of this Clause 1 hereof shall apply.</w:t>
      </w:r>
    </w:p>
    <w:p>
      <w:pPr>
        <w:spacing w:after="0" w:line="158" w:lineRule="exact"/>
        <w:rPr>
          <w:rFonts w:ascii="Times New Roman" w:cs="Times New Roman" w:eastAsia="Times New Roman" w:hAnsi="Times New Roman"/>
          <w:sz w:val="21"/>
          <w:szCs w:val="21"/>
          <w:color w:val="auto"/>
        </w:rPr>
      </w:pPr>
    </w:p>
    <w:p>
      <w:pPr>
        <w:ind w:left="1300" w:right="20" w:hanging="644"/>
        <w:spacing w:after="0" w:line="284" w:lineRule="auto"/>
        <w:tabs>
          <w:tab w:leader="none" w:pos="128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 for which the Buyer has *** under the conditions set out in this Clause 1 shall remain an Aircraft under the Agreement, and the Buyer’s *** with respect to such Aircraft shall lapse.</w:t>
      </w:r>
    </w:p>
    <w:p>
      <w:pPr>
        <w:spacing w:after="0" w:line="170"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Buyer not *** its *** pursuant to this Clause, the Buyer’s *** will lapse with respect to all ***, and the Buyer and ***.</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 set out in this Clause 1.1, the Buyer grants the *** a *** to *** the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300" w:hanging="644"/>
        <w:spacing w:after="0" w:line="287" w:lineRule="auto"/>
        <w:tabs>
          <w:tab w:leader="none" w:pos="129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will give *** a one-time written notice of its desire *** on a date falling not later than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Such notice shall identify all of the *** with respect to which the *** wishes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320"/>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A&amp;R LA14-2 AIRBUS S.A.S. &amp; UNITED AIRLINES, INC. – PROPRIETARY AND CONFIDENTIAL</w:t>
      </w:r>
    </w:p>
    <w:p>
      <w:pPr>
        <w:sectPr>
          <w:pgSz w:w="11900" w:h="16838" w:orient="portrait"/>
          <w:cols w:equalWidth="0" w:num="1">
            <w:col w:w="11240"/>
          </w:cols>
          <w:pgMar w:left="320" w:top="1394" w:right="339" w:bottom="1440" w:gutter="0" w:footer="0" w:header="0"/>
        </w:sectPr>
      </w:pPr>
    </w:p>
    <w:bookmarkStart w:id="138" w:name="page139"/>
    <w:bookmarkEnd w:id="138"/>
    <w:p>
      <w:pPr>
        <w:jc w:val="both"/>
        <w:ind w:left="1300" w:right="20" w:hanging="644"/>
        <w:spacing w:after="0" w:line="225" w:lineRule="auto"/>
        <w:tabs>
          <w:tab w:leader="none" w:pos="13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Seller *** its *** pursuant to this Clause, the *** in respect of the *** shall be considered void and of no effect. The *** defined under Clause 1.1(i) a. to f. shall be understood to be revised by *** and the *** shall be reduced accordingly.</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Seller not *** its Seller’s *** pursuant to this Clause, the Seller’s *** will lapse with respect to all</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Should the Buyer or the Seller *** the *** or the ***, respectively, with respect to ***, which shall in such case be</w:t>
      </w:r>
    </w:p>
    <w:p>
      <w:pPr>
        <w:ind w:left="660"/>
        <w:spacing w:after="0"/>
        <w:rPr>
          <w:sz w:val="20"/>
          <w:szCs w:val="20"/>
          <w:color w:val="auto"/>
        </w:rPr>
      </w:pPr>
      <w:r>
        <w:rPr>
          <w:rFonts w:ascii="Times New Roman" w:cs="Times New Roman" w:eastAsia="Times New Roman" w:hAnsi="Times New Roman"/>
          <w:sz w:val="22"/>
          <w:szCs w:val="22"/>
          <w:color w:val="auto"/>
        </w:rPr>
        <w:t>Aircraft ***, then:</w:t>
      </w:r>
    </w:p>
    <w:p>
      <w:pPr>
        <w:spacing w:after="0" w:line="169"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made by the Buyer with respect to such *** and shall apply such ***, without the ***. Upon *** of the</w:t>
      </w:r>
    </w:p>
    <w:p>
      <w:pPr>
        <w:ind w:left="1680" w:hanging="376"/>
        <w:spacing w:after="0"/>
        <w:tabs>
          <w:tab w:leader="none" w:pos="168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 will *** under this Agreement with respect to any such ***, and</w:t>
      </w:r>
    </w:p>
    <w:p>
      <w:pPr>
        <w:spacing w:after="0" w:line="18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advanced under the *** of even date hereof at the *** (as such terms are defined in such ***) shall ***.</w:t>
      </w:r>
    </w:p>
    <w:p>
      <w:pPr>
        <w:spacing w:after="0" w:line="206" w:lineRule="exact"/>
        <w:rPr>
          <w:sz w:val="20"/>
          <w:szCs w:val="20"/>
          <w:color w:val="auto"/>
        </w:rPr>
      </w:pPr>
    </w:p>
    <w:p>
      <w:pPr>
        <w:jc w:val="right"/>
        <w:spacing w:after="0" w:line="216" w:lineRule="auto"/>
        <w:rPr>
          <w:sz w:val="20"/>
          <w:szCs w:val="20"/>
          <w:color w:val="auto"/>
        </w:rPr>
      </w:pPr>
      <w:r>
        <w:rPr>
          <w:rFonts w:ascii="Times New Roman" w:cs="Times New Roman" w:eastAsia="Times New Roman" w:hAnsi="Times New Roman"/>
          <w:sz w:val="22"/>
          <w:szCs w:val="22"/>
          <w:color w:val="auto"/>
        </w:rPr>
        <w:t>1.3    Should the Buyer or the Seller *** the ***, respectively, with respect to ***, then *** with respect to any such *** and shall apply *** scheduled under ***. Upon *** of the *** or *** will *** under this Agreement with respect to any such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For the avoidance of doubt, any *** for *** which have become *** shall not be used to *** of the Agreement.</w:t>
      </w:r>
    </w:p>
    <w:p>
      <w:pPr>
        <w:spacing w:after="0" w:line="182" w:lineRule="exact"/>
        <w:rPr>
          <w:sz w:val="20"/>
          <w:szCs w:val="20"/>
          <w:color w:val="auto"/>
        </w:rPr>
      </w:pPr>
    </w:p>
    <w:p>
      <w:pPr>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The exercise of the *** or *** shall not in any way be deemed *** of this Agreement or any other agreement involving Buyer or Seller. Nor shall such exercise *** in this Clause 1.</w:t>
      </w:r>
    </w:p>
    <w:p>
      <w:pPr>
        <w:spacing w:after="0" w:line="177"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LEFT BLANK</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LEFT BLANK</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06" w:lineRule="exact"/>
        <w:rPr>
          <w:rFonts w:ascii="Times New Roman" w:cs="Times New Roman" w:eastAsia="Times New Roman" w:hAnsi="Times New Roman"/>
          <w:sz w:val="22"/>
          <w:szCs w:val="22"/>
          <w:color w:val="auto"/>
        </w:rPr>
      </w:pPr>
    </w:p>
    <w:p>
      <w:pPr>
        <w:jc w:val="both"/>
        <w:ind w:left="66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Buyer or the Seller *** the *** or the ***, respectively, with respect to any of the *** in accordance with this Letter Agreement, then all *** based on a fleet size of *** A350-900 Aircraft ***, in a methodologically consistent manner.</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p>
    <w:p>
      <w:pPr>
        <w:spacing w:after="0" w:line="206" w:lineRule="exact"/>
        <w:rPr>
          <w:rFonts w:ascii="Times New Roman" w:cs="Times New Roman" w:eastAsia="Times New Roman" w:hAnsi="Times New Roman"/>
          <w:sz w:val="22"/>
          <w:szCs w:val="22"/>
          <w:color w:val="auto"/>
        </w:rPr>
      </w:pPr>
    </w:p>
    <w:p>
      <w:pPr>
        <w:ind w:left="66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and the rights and obligations of the parties will be subject to the provisions of Clause 21 of the Agreement.</w:t>
      </w:r>
    </w:p>
    <w:p>
      <w:pPr>
        <w:spacing w:after="0" w:line="17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p>
    <w:p>
      <w:pPr>
        <w:spacing w:after="0" w:line="20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is subject to the terms and conditions of Clause 22.10 of the Agreement.</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32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A&amp;R LA14-3 AIRBUS S.A.S. &amp; UNITED AIRLINES, INC. – PROPRIETARY AND CONFIDENTIAL</w:t>
      </w:r>
    </w:p>
    <w:p>
      <w:pPr>
        <w:sectPr>
          <w:pgSz w:w="11900" w:h="16838" w:orient="portrait"/>
          <w:cols w:equalWidth="0" w:num="1">
            <w:col w:w="11240"/>
          </w:cols>
          <w:pgMar w:left="320" w:top="1394" w:right="339" w:bottom="1440" w:gutter="0" w:footer="0" w:header="0"/>
        </w:sectPr>
      </w:pPr>
    </w:p>
    <w:bookmarkStart w:id="139" w:name="page140"/>
    <w:bookmarkEnd w:id="139"/>
    <w:p>
      <w:pPr>
        <w:ind w:left="660"/>
        <w:spacing w:after="0" w:line="236" w:lineRule="auto"/>
        <w:rPr>
          <w:sz w:val="20"/>
          <w:szCs w:val="20"/>
          <w:color w:val="auto"/>
        </w:rPr>
      </w:pPr>
      <w:r>
        <w:rPr>
          <w:rFonts w:ascii="Times New Roman" w:cs="Times New Roman" w:eastAsia="Times New Roman" w:hAnsi="Times New Roman"/>
          <w:sz w:val="22"/>
          <w:szCs w:val="22"/>
          <w:color w:val="auto"/>
        </w:rPr>
        <w:t>This Letter Agreement may be executed by the parties hereto in separate counterparts, each of which when so executed and delivered will be an original, but all such counterparts will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32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A&amp;R LA14-4 AIRBUS S.A.S. &amp; UNITED AIRLINES, INC. – PROPRIETARY AND CONFIDENTIAL</w:t>
      </w:r>
    </w:p>
    <w:p>
      <w:pPr>
        <w:sectPr>
          <w:pgSz w:w="11900" w:h="16838" w:orient="portrait"/>
          <w:cols w:equalWidth="0" w:num="1">
            <w:col w:w="11240"/>
          </w:cols>
          <w:pgMar w:left="320" w:top="1394" w:right="339" w:bottom="1440" w:gutter="0" w:footer="0" w:header="0"/>
        </w:sectPr>
      </w:pPr>
    </w:p>
    <w:bookmarkStart w:id="140" w:name="page141"/>
    <w:bookmarkEnd w:id="140"/>
    <w:p>
      <w:pPr>
        <w:spacing w:after="0" w:line="271" w:lineRule="auto"/>
        <w:rPr>
          <w:sz w:val="20"/>
          <w:szCs w:val="20"/>
          <w:color w:val="auto"/>
        </w:rPr>
      </w:pPr>
      <w:r>
        <w:rPr>
          <w:rFonts w:ascii="Times New Roman" w:cs="Times New Roman" w:eastAsia="Times New Roman" w:hAnsi="Times New Roman"/>
          <w:sz w:val="22"/>
          <w:szCs w:val="22"/>
          <w:color w:val="auto"/>
        </w:rPr>
        <w:t>If the foregoing correctly sets forth your understanding, please execute the original and one (1) copy hereof in the space provided below and return a copy to the Seller.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AIRBUS S.A.S.</w:t>
      </w:r>
    </w:p>
    <w:p>
      <w:pPr>
        <w:spacing w:after="0" w:line="26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/s/ Paul Meijers</w:t>
      </w:r>
    </w:p>
    <w:p>
      <w:pPr>
        <w:spacing w:after="0" w:line="2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By: Paul Meijers</w:t>
      </w:r>
    </w:p>
    <w:p>
      <w:pPr>
        <w:spacing w:after="0" w:line="2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Its: Executive Vice President, Commercial Transactions</w:t>
      </w:r>
    </w:p>
    <w:p>
      <w:pPr>
        <w:spacing w:after="0" w:line="200" w:lineRule="exact"/>
        <w:rPr>
          <w:sz w:val="20"/>
          <w:szCs w:val="20"/>
          <w:color w:val="auto"/>
        </w:rPr>
      </w:pPr>
    </w:p>
    <w:p>
      <w:pPr>
        <w:spacing w:after="0" w:line="2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00" w:lineRule="exact"/>
        <w:rPr>
          <w:sz w:val="20"/>
          <w:szCs w:val="20"/>
          <w:color w:val="auto"/>
        </w:rPr>
      </w:pPr>
    </w:p>
    <w:p>
      <w:pPr>
        <w:spacing w:after="0" w:line="2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 John Gebo</w:t>
      </w:r>
    </w:p>
    <w:p>
      <w:pPr>
        <w:spacing w:after="0" w:line="247"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color w:val="auto"/>
        </w:rPr>
        <w:t>By: John Gebo</w:t>
      </w:r>
    </w:p>
    <w:p>
      <w:pPr>
        <w:spacing w:after="0" w:line="24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SVP Treasury, Fleet &amp; Fuel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16"/>
          <w:szCs w:val="16"/>
          <w:color w:val="auto"/>
        </w:rPr>
        <w:t>CT1706024 – Amended and Restated A350-900 Purchase Agreement</w:t>
      </w:r>
      <w:r>
        <w:rPr>
          <w:sz w:val="20"/>
          <w:szCs w:val="20"/>
          <w:color w:val="auto"/>
        </w:rPr>
        <w:tab/>
      </w:r>
      <w:r>
        <w:rPr>
          <w:rFonts w:ascii="Times New Roman" w:cs="Times New Roman" w:eastAsia="Times New Roman" w:hAnsi="Times New Roman"/>
          <w:sz w:val="16"/>
          <w:szCs w:val="16"/>
          <w:color w:val="auto"/>
        </w:rPr>
        <w:t>A&amp;R LA14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AIRBUS S.A.S. &amp; UNITED AIRLINES, INC. – PROPRIETARY AND CONFIDENTIAL</w:t>
      </w:r>
    </w:p>
    <w:p>
      <w:pPr>
        <w:sectPr>
          <w:pgSz w:w="11900" w:h="16838" w:orient="portrait"/>
          <w:cols w:equalWidth="0" w:num="1">
            <w:col w:w="11240"/>
          </w:cols>
          <w:pgMar w:left="320" w:top="1394" w:right="339" w:bottom="1440" w:gutter="0" w:footer="0" w:header="0"/>
        </w:sectPr>
      </w:pPr>
    </w:p>
    <w:bookmarkStart w:id="141" w:name="page142"/>
    <w:bookmarkEnd w:id="141"/>
    <w:p>
      <w:pPr>
        <w:ind w:left="9900"/>
        <w:spacing w:after="0"/>
        <w:rPr>
          <w:sz w:val="20"/>
          <w:szCs w:val="20"/>
          <w:color w:val="auto"/>
        </w:rPr>
      </w:pPr>
      <w:r>
        <w:rPr>
          <w:rFonts w:ascii="Times New Roman" w:cs="Times New Roman" w:eastAsia="Times New Roman" w:hAnsi="Times New Roman"/>
          <w:sz w:val="21"/>
          <w:szCs w:val="21"/>
          <w:b w:val="1"/>
          <w:bCs w:val="1"/>
          <w:color w:val="auto"/>
        </w:rPr>
        <w:t>Exhibit 10.108</w:t>
      </w:r>
    </w:p>
    <w:p>
      <w:pPr>
        <w:spacing w:after="0" w:line="61" w:lineRule="exact"/>
        <w:rPr>
          <w:sz w:val="20"/>
          <w:szCs w:val="20"/>
          <w:color w:val="auto"/>
        </w:rPr>
      </w:pPr>
    </w:p>
    <w:p>
      <w:pPr>
        <w:jc w:val="center"/>
        <w:ind w:left="340" w:right="60"/>
        <w:spacing w:after="0" w:line="266" w:lineRule="auto"/>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NOT MATERIAL AND IS THE TYPE THAT THE REGISTRANT TREATS AS PRIVATE OR CONFIDENTIAL. OMITTED INFORMATION HAS BEEN REPLACED WITH ASTERISKS.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340" w:right="520"/>
        <w:spacing w:after="0" w:line="532" w:lineRule="auto"/>
        <w:rPr>
          <w:sz w:val="20"/>
          <w:szCs w:val="20"/>
          <w:color w:val="auto"/>
        </w:rPr>
      </w:pPr>
      <w:r>
        <w:rPr>
          <w:sz w:val="1"/>
          <w:szCs w:val="1"/>
          <w:color w:val="auto"/>
        </w:rPr>
        <w:drawing>
          <wp:inline distT="0" distB="0" distL="0" distR="0">
            <wp:extent cx="5349240" cy="24003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76">
                      <a:extLst>
                        <a:ext uri="{28A0092B-C50C-407E-A947-70E740481C1C}"/>
                      </a:extLst>
                    </a:blip>
                    <a:srcRect/>
                    <a:stretch>
                      <a:fillRect/>
                    </a:stretch>
                  </pic:blipFill>
                  <pic:spPr bwMode="auto">
                    <a:xfrm>
                      <a:off x="0" y="0"/>
                      <a:ext cx="5349240" cy="24003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SUPPLEMENTAL AGREEMENT NO. 15</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AGREEMENT NUMBER 04815</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BOEING COMPANY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relating to</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MODEL 787 AIRCRAFT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SUPPLEMENTAL AGREEMENT No. 15 (</w:t>
      </w:r>
      <w:r>
        <w:rPr>
          <w:rFonts w:ascii="Times New Roman" w:cs="Times New Roman" w:eastAsia="Times New Roman" w:hAnsi="Times New Roman"/>
          <w:sz w:val="22"/>
          <w:szCs w:val="22"/>
          <w:b w:val="1"/>
          <w:bCs w:val="1"/>
          <w:color w:val="auto"/>
        </w:rPr>
        <w:t>SA-15</w:t>
      </w:r>
      <w:r>
        <w:rPr>
          <w:rFonts w:ascii="Times New Roman" w:cs="Times New Roman" w:eastAsia="Times New Roman" w:hAnsi="Times New Roman"/>
          <w:sz w:val="22"/>
          <w:szCs w:val="22"/>
          <w:color w:val="auto"/>
        </w:rPr>
        <w:t>) is entered into as of</w:t>
      </w:r>
    </w:p>
    <w:p>
      <w:pPr>
        <w:spacing w:after="0" w:line="3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 xml:space="preserve">December </w:t>
      </w:r>
      <w:r>
        <w:rPr>
          <w:rFonts w:ascii="Times New Roman" w:cs="Times New Roman" w:eastAsia="Times New Roman" w:hAnsi="Times New Roman"/>
          <w:sz w:val="22"/>
          <w:szCs w:val="22"/>
          <w:u w:val="single" w:color="auto"/>
          <w:color w:val="auto"/>
        </w:rPr>
        <w:t>30</w:t>
      </w:r>
      <w:r>
        <w:rPr>
          <w:rFonts w:ascii="Times New Roman" w:cs="Times New Roman" w:eastAsia="Times New Roman" w:hAnsi="Times New Roman"/>
          <w:sz w:val="22"/>
          <w:szCs w:val="22"/>
          <w:color w:val="auto"/>
        </w:rPr>
        <w:t>, 2025 by and between The Boeing Company, a Delaware corporation,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a Delaware corporation,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Customer and Boeing entered into Purchase Agreement No. 04815 dated as of the 31st day of May of 2018 as amended and supplemented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relating to the purchase and sale of Model 787 aircraft. This Supplemental Agreement is an amendment to the Purchase Agreement; and</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WHEREAS, Customer has requested and Boeing has agreed to revise Customer’s Aircraft deliveries under the Purchase Agreement such that (a) the first *** Aircraft deliveries calculated by counting all Aircraft and *** Aircraft from *** (delivered or to be delivered until *** (the </w:t>
      </w:r>
      <w:r>
        <w:rPr>
          <w:rFonts w:ascii="Times New Roman" w:cs="Times New Roman" w:eastAsia="Times New Roman" w:hAnsi="Times New Roman"/>
          <w:sz w:val="22"/>
          <w:szCs w:val="22"/>
          <w:b w:val="1"/>
          <w:bCs w:val="1"/>
          <w:color w:val="auto"/>
        </w:rPr>
        <w:t>First *** Aircraft</w:t>
      </w:r>
      <w:r>
        <w:rPr>
          <w:rFonts w:ascii="Times New Roman" w:cs="Times New Roman" w:eastAsia="Times New Roman" w:hAnsi="Times New Roman"/>
          <w:sz w:val="22"/>
          <w:szCs w:val="22"/>
          <w:color w:val="auto"/>
        </w:rPr>
        <w:t>); and (b) beginning with the *** Aircraft, each Aircraft and *** Aircraft will be *** to Boeing’s current *** Customer (</w:t>
      </w:r>
      <w:r>
        <w:rPr>
          <w:rFonts w:ascii="Times New Roman" w:cs="Times New Roman" w:eastAsia="Times New Roman" w:hAnsi="Times New Roman"/>
          <w:sz w:val="22"/>
          <w:szCs w:val="22"/>
          <w:b w:val="1"/>
          <w:bCs w:val="1"/>
          <w:color w:val="auto"/>
        </w:rPr>
        <w:t>*** Aircraft</w:t>
      </w:r>
      <w:r>
        <w:rPr>
          <w:rFonts w:ascii="Times New Roman" w:cs="Times New Roman" w:eastAsia="Times New Roman" w:hAnsi="Times New Roman"/>
          <w:sz w:val="22"/>
          <w:szCs w:val="22"/>
          <w:color w:val="auto"/>
        </w:rPr>
        <w:t>). The parties desire to conform and further amend the Purchase Agreement to reflect the preceding as follows:</w:t>
      </w:r>
    </w:p>
    <w:p>
      <w:pPr>
        <w:spacing w:after="0" w:line="194"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 Aircraft will maintain their original scheduled delivery months;</w:t>
      </w:r>
    </w:p>
    <w:p>
      <w:pPr>
        <w:spacing w:after="0" w:line="27" w:lineRule="exact"/>
        <w:rPr>
          <w:rFonts w:ascii="Times New Roman" w:cs="Times New Roman" w:eastAsia="Times New Roman" w:hAnsi="Times New Roman"/>
          <w:sz w:val="22"/>
          <w:szCs w:val="22"/>
          <w:color w:val="auto"/>
        </w:rPr>
      </w:pPr>
    </w:p>
    <w:p>
      <w:pPr>
        <w:ind w:left="1300" w:right="40" w:hanging="644"/>
        <w:spacing w:after="0" w:line="248" w:lineRule="auto"/>
        <w:tabs>
          <w:tab w:leader="none" w:pos="129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scheduled delivery month of each *** Aircraft will be revised to the new delivery months set forth in this SA-15;</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580" w:val="left"/>
          <w:tab w:leader="none" w:pos="2360" w:val="left"/>
        </w:tabs>
        <w:rPr>
          <w:sz w:val="20"/>
          <w:szCs w:val="20"/>
          <w:color w:val="auto"/>
        </w:rPr>
      </w:pPr>
      <w:r>
        <w:rPr>
          <w:rFonts w:ascii="Times New Roman" w:cs="Times New Roman" w:eastAsia="Times New Roman" w:hAnsi="Times New Roman"/>
          <w:sz w:val="22"/>
          <w:szCs w:val="22"/>
          <w:color w:val="auto"/>
        </w:rPr>
        <w:t>UAL-PA-04815</w:t>
        <w:tab/>
        <w:t>SA-15</w:t>
        <w:tab/>
        <w:t>Page 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121" w:right="339" w:bottom="1440" w:gutter="0" w:footer="0" w:header="0"/>
        </w:sectPr>
      </w:pPr>
    </w:p>
    <w:bookmarkStart w:id="142" w:name="page143"/>
    <w:bookmarkEnd w:id="142"/>
    <w:p>
      <w:pPr>
        <w:spacing w:after="0" w:line="333"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Customer’s purchase of *** 787-*** Aircraft arising from Customer’s exercise of its rights in *** 787-***</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Aircraft which are to be added to the Purchase Agreement (</w:t>
      </w:r>
      <w:r>
        <w:rPr>
          <w:rFonts w:ascii="Times New Roman" w:cs="Times New Roman" w:eastAsia="Times New Roman" w:hAnsi="Times New Roman"/>
          <w:sz w:val="22"/>
          <w:szCs w:val="22"/>
          <w:b w:val="1"/>
          <w:bCs w:val="1"/>
          <w:color w:val="auto"/>
        </w:rPr>
        <w:t>SA-15 *** Aircraft</w:t>
      </w: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 through the end of the ***; and</w:t>
      </w:r>
    </w:p>
    <w:p>
      <w:pPr>
        <w:spacing w:after="0" w:line="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Relative to *** Aircraft, this SA-15 will:</w:t>
      </w:r>
    </w:p>
    <w:p>
      <w:pPr>
        <w:spacing w:after="0" w:line="5" w:lineRule="exact"/>
        <w:rPr>
          <w:rFonts w:ascii="Times New Roman" w:cs="Times New Roman" w:eastAsia="Times New Roman" w:hAnsi="Times New Roman"/>
          <w:sz w:val="22"/>
          <w:szCs w:val="22"/>
          <w:color w:val="auto"/>
        </w:rPr>
      </w:pPr>
    </w:p>
    <w:p>
      <w:pPr>
        <w:ind w:left="1620" w:right="400" w:hanging="316"/>
        <w:spacing w:after="0" w:line="248" w:lineRule="auto"/>
        <w:tabs>
          <w:tab w:leader="none" w:pos="1612"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aggregate quantity of available 787-*** Aircraft by a quantity of *** due to Customer’s *** in the SA-15 *** Aircraft, and</w:t>
      </w:r>
    </w:p>
    <w:p>
      <w:pPr>
        <w:spacing w:after="0" w:line="1"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Revise *** rights in certain remaining *** Aircraft.</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WHEREAS, Customer has previously accepted certain configuration changes for certain 787-*** Aircraft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Configuration Changes</w:t>
      </w:r>
      <w:r>
        <w:rPr>
          <w:rFonts w:ascii="Times New Roman" w:cs="Times New Roman" w:eastAsia="Times New Roman" w:hAnsi="Times New Roman"/>
          <w:sz w:val="22"/>
          <w:szCs w:val="22"/>
          <w:color w:val="auto"/>
        </w:rPr>
        <w:t>), and the parties now desire to conform and further amend the Purchase Agreement to reflect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57"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Incorporates the Customer Configuration Changes into</w:t>
      </w:r>
    </w:p>
    <w:p>
      <w:pPr>
        <w:spacing w:after="0" w:line="27"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the *** configured Boeing model 787-*** aircraft; and</w:t>
      </w:r>
    </w:p>
    <w:p>
      <w:pPr>
        <w:spacing w:after="0" w:line="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the *** configured Boeing model 787-*** aircraft;</w:t>
      </w:r>
    </w:p>
    <w:p>
      <w:pPr>
        <w:spacing w:after="0" w:line="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Incorporates Customer’s *** request to *** Aircraft from Boeing model 787-*** aircraft into Boeing model 787-</w:t>
      </w:r>
    </w:p>
    <w:p>
      <w:pPr>
        <w:spacing w:after="0" w:line="16"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aircraft (</w:t>
      </w:r>
      <w:r>
        <w:rPr>
          <w:rFonts w:ascii="Times New Roman" w:cs="Times New Roman" w:eastAsia="Times New Roman" w:hAnsi="Times New Roman"/>
          <w:sz w:val="22"/>
          <w:szCs w:val="22"/>
          <w:b w:val="1"/>
          <w:bCs w:val="1"/>
          <w:color w:val="auto"/>
        </w:rPr>
        <w:t>*** 787-*** Aircraft</w:t>
      </w:r>
      <w:r>
        <w:rPr>
          <w:rFonts w:ascii="Times New Roman" w:cs="Times New Roman" w:eastAsia="Times New Roman" w:hAnsi="Times New Roman"/>
          <w:sz w:val="22"/>
          <w:szCs w:val="22"/>
          <w:color w:val="auto"/>
        </w:rPr>
        <w:t>);</w:t>
      </w:r>
    </w:p>
    <w:p>
      <w:pPr>
        <w:spacing w:after="0" w:line="1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Incorporates a new Exhibit A reflecting the Customer Configuration Changes for the *** Boeing model 787-***</w:t>
      </w:r>
    </w:p>
    <w:p>
      <w:pPr>
        <w:spacing w:after="0" w:line="3"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aircraft configuration;</w:t>
      </w:r>
    </w:p>
    <w:p>
      <w:pPr>
        <w:spacing w:after="0" w:line="3" w:lineRule="exact"/>
        <w:rPr>
          <w:rFonts w:ascii="Times New Roman" w:cs="Times New Roman" w:eastAsia="Times New Roman" w:hAnsi="Times New Roman"/>
          <w:sz w:val="22"/>
          <w:szCs w:val="22"/>
          <w:color w:val="auto"/>
        </w:rPr>
      </w:pPr>
    </w:p>
    <w:p>
      <w:pPr>
        <w:ind w:left="1300" w:right="900" w:hanging="644"/>
        <w:spacing w:after="0" w:line="243" w:lineRule="auto"/>
        <w:tabs>
          <w:tab w:leader="none" w:pos="128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Incorporates a new Supplemental Exhibit for the buyer furnished equipment requirements incident to the Customer Configuration Changes; AND</w:t>
      </w: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Revises the Open Matters Letter to add Customer’s configuration selections for the *** 787-*** Aircraft.</w:t>
      </w:r>
    </w:p>
    <w:p>
      <w:pPr>
        <w:spacing w:after="0" w:line="209" w:lineRule="exact"/>
        <w:rPr>
          <w:sz w:val="20"/>
          <w:szCs w:val="20"/>
          <w:color w:val="auto"/>
        </w:rPr>
      </w:pPr>
    </w:p>
    <w:p>
      <w:pPr>
        <w:ind w:left="660" w:right="1300"/>
        <w:spacing w:after="0" w:line="469" w:lineRule="auto"/>
        <w:rPr>
          <w:sz w:val="20"/>
          <w:szCs w:val="20"/>
          <w:color w:val="auto"/>
        </w:rPr>
      </w:pPr>
      <w:r>
        <w:rPr>
          <w:rFonts w:ascii="Times New Roman" w:cs="Times New Roman" w:eastAsia="Times New Roman" w:hAnsi="Times New Roman"/>
          <w:sz w:val="21"/>
          <w:szCs w:val="21"/>
          <w:color w:val="auto"/>
        </w:rPr>
        <w:t>WHEREAS, the parties agree to add terms and conditions relating to *** to the Purchase Agreement; AND WHEREAS, the parties desire to amend the Purchase Agreement to revise certain terms relating to ***.</w:t>
      </w:r>
    </w:p>
    <w:p>
      <w:pPr>
        <w:spacing w:after="0" w:line="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 contained, the parties agree to amend the Purchase Agreement as follows:</w:t>
      </w:r>
    </w:p>
    <w:p>
      <w:pPr>
        <w:spacing w:after="0" w:line="158"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Table of Contents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“Table of Contents” is deleted in its entirety and replaced with the attached “Table of Contents” (identified by “SA-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196"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Tables.</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2.1. Table 1 entitled “</w:t>
      </w:r>
      <w:r>
        <w:rPr>
          <w:rFonts w:ascii="Times New Roman" w:cs="Times New Roman" w:eastAsia="Times New Roman" w:hAnsi="Times New Roman"/>
          <w:sz w:val="22"/>
          <w:szCs w:val="22"/>
          <w:i w:val="1"/>
          <w:iCs w:val="1"/>
          <w:color w:val="auto"/>
        </w:rPr>
        <w:t>787-*** Aircraft Delivery, Description, Price and *** 787-*** Aircraft)</w:t>
      </w:r>
      <w:r>
        <w:rPr>
          <w:rFonts w:ascii="Times New Roman" w:cs="Times New Roman" w:eastAsia="Times New Roman" w:hAnsi="Times New Roman"/>
          <w:sz w:val="22"/>
          <w:szCs w:val="22"/>
          <w:color w:val="auto"/>
        </w:rPr>
        <w:t>” is deleted in its entirety and replaced with Table 1 entitled “</w:t>
      </w:r>
      <w:r>
        <w:rPr>
          <w:rFonts w:ascii="Times New Roman" w:cs="Times New Roman" w:eastAsia="Times New Roman" w:hAnsi="Times New Roman"/>
          <w:sz w:val="22"/>
          <w:szCs w:val="22"/>
          <w:i w:val="1"/>
          <w:iCs w:val="1"/>
          <w:color w:val="auto"/>
        </w:rPr>
        <w:t>*** 787-*** Aircraft (Prior to *** Configuration) Delivery, Description, Price and ***</w:t>
      </w:r>
      <w:r>
        <w:rPr>
          <w:rFonts w:ascii="Times New Roman" w:cs="Times New Roman" w:eastAsia="Times New Roman" w:hAnsi="Times New Roman"/>
          <w:sz w:val="22"/>
          <w:szCs w:val="22"/>
          <w:color w:val="auto"/>
        </w:rPr>
        <w:t>” (identified by “SA-15” footer) to delete the *** configured 787-*** aircraft from this Table 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1580" w:val="left"/>
          <w:tab w:leader="none" w:pos="2360" w:val="left"/>
        </w:tabs>
        <w:rPr>
          <w:sz w:val="20"/>
          <w:szCs w:val="20"/>
          <w:color w:val="auto"/>
        </w:rPr>
      </w:pPr>
      <w:r>
        <w:rPr>
          <w:rFonts w:ascii="Times New Roman" w:cs="Times New Roman" w:eastAsia="Times New Roman" w:hAnsi="Times New Roman"/>
          <w:sz w:val="22"/>
          <w:szCs w:val="22"/>
          <w:color w:val="auto"/>
        </w:rPr>
        <w:t>UAL-PA-04815</w:t>
        <w:tab/>
        <w:t>SA-15</w:t>
        <w:tab/>
        <w:t>Page 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0" w:lineRule="exact"/>
        <w:rPr>
          <w:sz w:val="20"/>
          <w:szCs w:val="20"/>
          <w:color w:val="auto"/>
        </w:rPr>
      </w:pPr>
    </w:p>
    <w:p>
      <w:pPr>
        <w:spacing w:after="0" w:line="34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2.2. Two new Table 1s entitled “</w:t>
      </w:r>
      <w:r>
        <w:rPr>
          <w:rFonts w:ascii="Times New Roman" w:cs="Times New Roman" w:eastAsia="Times New Roman" w:hAnsi="Times New Roman"/>
          <w:sz w:val="22"/>
          <w:szCs w:val="22"/>
          <w:i w:val="1"/>
          <w:iCs w:val="1"/>
          <w:color w:val="auto"/>
        </w:rPr>
        <w:t>First *** 787-*** Aircraft Delivery, Description, Price and ***</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 787-***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Aircraft Delivery, Description, Price and ***</w:t>
      </w:r>
      <w:r>
        <w:rPr>
          <w:rFonts w:ascii="Times New Roman" w:cs="Times New Roman" w:eastAsia="Times New Roman" w:hAnsi="Times New Roman"/>
          <w:sz w:val="22"/>
          <w:szCs w:val="22"/>
          <w:color w:val="auto"/>
        </w:rPr>
        <w:t>” (both identified by a “SA-15” footer) are added to the Purchase Agreement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reflect the configuration of the *** 787-*** Aircraft.</w:t>
      </w:r>
    </w:p>
    <w:p>
      <w:pPr>
        <w:spacing w:after="0" w:line="166"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1"/>
          <w:szCs w:val="21"/>
          <w:color w:val="auto"/>
        </w:rPr>
        <w:t>2.3. A new Table 1 entitled “</w:t>
      </w:r>
      <w:r>
        <w:rPr>
          <w:rFonts w:ascii="Times New Roman" w:cs="Times New Roman" w:eastAsia="Times New Roman" w:hAnsi="Times New Roman"/>
          <w:sz w:val="21"/>
          <w:szCs w:val="21"/>
          <w:i w:val="1"/>
          <w:iCs w:val="1"/>
          <w:color w:val="auto"/>
        </w:rPr>
        <w:t>*** 787-*** Aircraft with *** Engines Delivery, Description, Price and ***</w:t>
      </w:r>
      <w:r>
        <w:rPr>
          <w:rFonts w:ascii="Times New Roman" w:cs="Times New Roman" w:eastAsia="Times New Roman" w:hAnsi="Times New Roman"/>
          <w:sz w:val="21"/>
          <w:szCs w:val="21"/>
          <w:color w:val="auto"/>
        </w:rPr>
        <w:t>” (identified by a “SA-15” footer) is added to the Purchase Agreement as a placeholder for the upcoming revision to the configuration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787-*** Aircraft.</w:t>
      </w:r>
    </w:p>
    <w:p>
      <w:pPr>
        <w:spacing w:after="0" w:line="196"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 and Supplemental Exhibit</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3.1. The Exhibit A entitled “</w:t>
      </w:r>
      <w:r>
        <w:rPr>
          <w:rFonts w:ascii="Times New Roman" w:cs="Times New Roman" w:eastAsia="Times New Roman" w:hAnsi="Times New Roman"/>
          <w:sz w:val="22"/>
          <w:szCs w:val="22"/>
          <w:i w:val="1"/>
          <w:iCs w:val="1"/>
          <w:color w:val="auto"/>
        </w:rPr>
        <w:t>787-*** Aircraft Configuration for the *** Aircraft”</w:t>
      </w:r>
      <w:r>
        <w:rPr>
          <w:rFonts w:ascii="Times New Roman" w:cs="Times New Roman" w:eastAsia="Times New Roman" w:hAnsi="Times New Roman"/>
          <w:sz w:val="22"/>
          <w:szCs w:val="22"/>
          <w:color w:val="auto"/>
        </w:rPr>
        <w:t xml:space="preserve"> is deleted in its entirety and replaced with the attached Exhibit A entitled “</w:t>
      </w:r>
      <w:r>
        <w:rPr>
          <w:rFonts w:ascii="Times New Roman" w:cs="Times New Roman" w:eastAsia="Times New Roman" w:hAnsi="Times New Roman"/>
          <w:sz w:val="22"/>
          <w:szCs w:val="22"/>
          <w:i w:val="1"/>
          <w:iCs w:val="1"/>
          <w:color w:val="auto"/>
        </w:rPr>
        <w:t>787-*** Aircraft Configuration for the *** 787-*** Aircraft</w:t>
      </w:r>
      <w:r>
        <w:rPr>
          <w:rFonts w:ascii="Times New Roman" w:cs="Times New Roman" w:eastAsia="Times New Roman" w:hAnsi="Times New Roman"/>
          <w:sz w:val="22"/>
          <w:szCs w:val="22"/>
          <w:color w:val="auto"/>
        </w:rPr>
        <w:t>” (identified by “SA-15”) to limit applicability to the *** 787-*** Aircraft with scheduled delivery months in ***.</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3.2. The Exhibit A entitled “</w:t>
      </w:r>
      <w:r>
        <w:rPr>
          <w:rFonts w:ascii="Times New Roman" w:cs="Times New Roman" w:eastAsia="Times New Roman" w:hAnsi="Times New Roman"/>
          <w:sz w:val="22"/>
          <w:szCs w:val="22"/>
          <w:i w:val="1"/>
          <w:iCs w:val="1"/>
          <w:color w:val="auto"/>
        </w:rPr>
        <w:t>787-*** Aircraft *** Configuration”</w:t>
      </w:r>
      <w:r>
        <w:rPr>
          <w:rFonts w:ascii="Times New Roman" w:cs="Times New Roman" w:eastAsia="Times New Roman" w:hAnsi="Times New Roman"/>
          <w:sz w:val="22"/>
          <w:szCs w:val="22"/>
          <w:color w:val="auto"/>
        </w:rPr>
        <w:t xml:space="preserve"> is added to the Purchase Agreement (identified by “SA-15”) to incorporate the Customer Configuration Changes for the *** configured 787-*** Aircraft.</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3.3. Supplemental Exhibit BFE1 entitled “</w:t>
      </w:r>
      <w:r>
        <w:rPr>
          <w:rFonts w:ascii="Times New Roman" w:cs="Times New Roman" w:eastAsia="Times New Roman" w:hAnsi="Times New Roman"/>
          <w:sz w:val="22"/>
          <w:szCs w:val="22"/>
          <w:i w:val="1"/>
          <w:iCs w:val="1"/>
          <w:color w:val="auto"/>
        </w:rPr>
        <w:t>BFE Variables 787-*** Aircraft for the *** Aircraft</w:t>
      </w:r>
      <w:r>
        <w:rPr>
          <w:rFonts w:ascii="Times New Roman" w:cs="Times New Roman" w:eastAsia="Times New Roman" w:hAnsi="Times New Roman"/>
          <w:sz w:val="22"/>
          <w:szCs w:val="22"/>
          <w:color w:val="auto"/>
        </w:rPr>
        <w:t>” is deleted in its entirety and replaced with the attached entitled “</w:t>
      </w:r>
      <w:r>
        <w:rPr>
          <w:rFonts w:ascii="Times New Roman" w:cs="Times New Roman" w:eastAsia="Times New Roman" w:hAnsi="Times New Roman"/>
          <w:sz w:val="22"/>
          <w:szCs w:val="22"/>
          <w:i w:val="1"/>
          <w:iCs w:val="1"/>
          <w:color w:val="auto"/>
        </w:rPr>
        <w:t>BFE Variables 787-*** Aircraft for the *** 787-*** Aircraft</w:t>
      </w:r>
      <w:r>
        <w:rPr>
          <w:rFonts w:ascii="Times New Roman" w:cs="Times New Roman" w:eastAsia="Times New Roman" w:hAnsi="Times New Roman"/>
          <w:sz w:val="22"/>
          <w:szCs w:val="22"/>
          <w:color w:val="auto"/>
        </w:rPr>
        <w:t>” (identified by “SA-15”) to limit applicability to the *** 787-*** Aircraft.</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3.4. Supplemental Exhibit BFE1 entitled “</w:t>
      </w:r>
      <w:r>
        <w:rPr>
          <w:rFonts w:ascii="Times New Roman" w:cs="Times New Roman" w:eastAsia="Times New Roman" w:hAnsi="Times New Roman"/>
          <w:sz w:val="22"/>
          <w:szCs w:val="22"/>
          <w:i w:val="1"/>
          <w:iCs w:val="1"/>
          <w:color w:val="auto"/>
        </w:rPr>
        <w:t>BFE Variables *** 787-*** Aircraft</w:t>
      </w:r>
      <w:r>
        <w:rPr>
          <w:rFonts w:ascii="Times New Roman" w:cs="Times New Roman" w:eastAsia="Times New Roman" w:hAnsi="Times New Roman"/>
          <w:sz w:val="22"/>
          <w:szCs w:val="22"/>
          <w:color w:val="auto"/>
        </w:rPr>
        <w:t>” (identified by “SA-15”) is added to the Purchase Agreement to add buyer furnished equipment variable requirements applicable to the “*** configured 787-*** Aircraft.</w:t>
      </w:r>
    </w:p>
    <w:p>
      <w:pPr>
        <w:spacing w:after="0" w:line="170"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Agreements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4.1. Letter Agreement No. UAL-PA-04815-LA-1802886R6 is deleted in its entirety and replaced with Letter Agreement No. UAL-PA-04815-LA-1802886R7 entitled “Special Matters” (identified by “SA-15”) to revise commercial considerations relating to ***.</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4.2. Letter Agreement No. UAL-PA-04815-LA-1802891R2 is deleted in its entirety and replaced with Letter Agreement No. UAL-PA-04815-LA-1802891R3 entitled *** (identified by “SA-15”) to extend the *** to align with the ***.</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4.3. Letter Agreement No. UAL-PA-04815-LA-1802895R6 is deleted in its entirety and replaced with Letter Agreement No. UAL-PA-04815-LA-1802895R7 entitled “*** Matters” (identified by “SA-15”) to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580" w:val="left"/>
          <w:tab w:leader="none" w:pos="2360" w:val="left"/>
        </w:tabs>
        <w:rPr>
          <w:sz w:val="20"/>
          <w:szCs w:val="20"/>
          <w:color w:val="auto"/>
        </w:rPr>
      </w:pPr>
      <w:r>
        <w:rPr>
          <w:rFonts w:ascii="Times New Roman" w:cs="Times New Roman" w:eastAsia="Times New Roman" w:hAnsi="Times New Roman"/>
          <w:sz w:val="22"/>
          <w:szCs w:val="22"/>
          <w:color w:val="auto"/>
        </w:rPr>
        <w:t>UAL-PA-04815</w:t>
        <w:tab/>
        <w:t>SA-15</w:t>
        <w:tab/>
        <w:t>Page 3</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34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4.4. Letter Agreement No. UAL-PA-04815-LA-1802897R3 is deleted in its entirety and replaced with Letter Agreement No. UAL-PA-04815-LA-1802897R4 entitled “*** Aircraft” (identified by “SA-15”) to</w:t>
      </w:r>
    </w:p>
    <w:p>
      <w:pPr>
        <w:spacing w:after="0" w:line="50"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aggregate quantity of *** Aircraft by *** in Attachment A-1; and</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streamline *** rights in the *** Aircraft by deleting Attachment A-2 to this Letter Agreement.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4.5. Letter Agreement No. UAL-PA-04815-LA-2000328 entitled “787-***” is deleted in its entirety due to this letter agreement now being duplicative to Letter Agreement No. UAL-PA-04815-LA-1802891R3 entitled ***.</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4.6. Letter Agreement No. UAL-PA-04815-LA-22006311 is deleted in its entirety and replaced with Letter Agreement No. UAL-PA-04815-LA-22006311R1 entitled “787 Open Matters” (identified by “SA-15”) to provide Customer *** Configuration 787-*** Aircraft.</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4.7. Letter Agreement No. UAL-PA-04815-LA-23005341 is deleted in its entirety and replaced with Letter Agreement No. UAL-PA-04815-LA-23005341R1 entitled “Special Matters – SA-13 *** 787 Aircraft” (identified by “SA-15”) to revise commercial considerations relating to ***.</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4.8. Letter Agreement No. UAL-PA-04815-LA-2505473 entitled “787 ***” (identified by “SA-15”) is added to the Purchase Agreement to *** to the Purchase Agreement.</w:t>
      </w:r>
    </w:p>
    <w:p>
      <w:pPr>
        <w:spacing w:after="0" w:line="171"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5.1. Boeing and Customer agree that there is *** upon execution of this SA-15 as a result of the amendments set forth in this SA-15.</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5.2. For the *** delivered Aircraft specified below, Boeing shall issue to Customer, by *** which may only be applied towards ***. Customer agrees that ***.</w:t>
      </w:r>
    </w:p>
    <w:p>
      <w:pPr>
        <w:spacing w:after="0" w:line="18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22"/>
          <w:szCs w:val="22"/>
          <w:b w:val="1"/>
          <w:bCs w:val="1"/>
          <w:color w:val="auto"/>
        </w:rPr>
        <w:t>Contracted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-151765</wp:posOffset>
            </wp:positionV>
            <wp:extent cx="1337310" cy="6343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77">
                      <a:extLst>
                        <a:ext uri="{28A0092B-C50C-407E-A947-70E740481C1C}"/>
                      </a:extLst>
                    </a:blip>
                    <a:srcRect/>
                    <a:stretch>
                      <a:fillRect/>
                    </a:stretch>
                  </pic:blipFill>
                  <pic:spPr bwMode="auto">
                    <a:xfrm>
                      <a:off x="0" y="0"/>
                      <a:ext cx="1337310" cy="634365"/>
                    </a:xfrm>
                    <a:prstGeom prst="rect">
                      <a:avLst/>
                    </a:prstGeom>
                    <a:noFill/>
                  </pic:spPr>
                </pic:pic>
              </a:graphicData>
            </a:graphic>
          </wp:anchor>
        </w:drawing>
      </w:r>
    </w:p>
    <w:p>
      <w:pPr>
        <w:jc w:val="center"/>
        <w:ind w:right="2040"/>
        <w:spacing w:after="0" w:line="204" w:lineRule="auto"/>
        <w:rPr>
          <w:sz w:val="20"/>
          <w:szCs w:val="20"/>
          <w:color w:val="auto"/>
        </w:rPr>
      </w:pPr>
      <w:r>
        <w:rPr>
          <w:rFonts w:ascii="Times New Roman" w:cs="Times New Roman" w:eastAsia="Times New Roman" w:hAnsi="Times New Roman"/>
          <w:sz w:val="22"/>
          <w:szCs w:val="22"/>
          <w:b w:val="1"/>
          <w:bCs w:val="1"/>
          <w:color w:val="auto"/>
        </w:rPr>
        <w:t>Delivery</w:t>
      </w:r>
    </w:p>
    <w:p>
      <w:pPr>
        <w:spacing w:after="0" w:line="1" w:lineRule="exact"/>
        <w:rPr>
          <w:sz w:val="20"/>
          <w:szCs w:val="20"/>
          <w:color w:val="auto"/>
        </w:rPr>
      </w:pPr>
    </w:p>
    <w:p>
      <w:pPr>
        <w:ind w:left="3320"/>
        <w:spacing w:after="0"/>
        <w:tabs>
          <w:tab w:leader="none" w:pos="4420" w:val="left"/>
        </w:tabs>
        <w:rPr>
          <w:sz w:val="20"/>
          <w:szCs w:val="20"/>
          <w:color w:val="auto"/>
        </w:rPr>
      </w:pPr>
      <w:r>
        <w:rPr>
          <w:rFonts w:ascii="Times New Roman" w:cs="Times New Roman" w:eastAsia="Times New Roman" w:hAnsi="Times New Roman"/>
          <w:sz w:val="22"/>
          <w:szCs w:val="22"/>
          <w:b w:val="1"/>
          <w:bCs w:val="1"/>
          <w:color w:val="auto"/>
        </w:rPr>
        <w:t>MSN</w:t>
      </w:r>
      <w:r>
        <w:rPr>
          <w:sz w:val="20"/>
          <w:szCs w:val="20"/>
          <w:color w:val="auto"/>
        </w:rPr>
        <w:tab/>
      </w:r>
      <w:r>
        <w:rPr>
          <w:rFonts w:ascii="Times New Roman" w:cs="Times New Roman" w:eastAsia="Times New Roman" w:hAnsi="Times New Roman"/>
          <w:sz w:val="22"/>
          <w:szCs w:val="22"/>
          <w:b w:val="1"/>
          <w:bCs w:val="1"/>
          <w:color w:val="auto"/>
        </w:rPr>
        <w:t>***</w:t>
      </w:r>
    </w:p>
    <w:p>
      <w:pPr>
        <w:spacing w:after="0" w:line="11" w:lineRule="exact"/>
        <w:rPr>
          <w:sz w:val="20"/>
          <w:szCs w:val="20"/>
          <w:color w:val="auto"/>
        </w:rPr>
      </w:pPr>
    </w:p>
    <w:p>
      <w:pPr>
        <w:ind w:left="3400"/>
        <w:spacing w:after="0"/>
        <w:tabs>
          <w:tab w:leader="none" w:pos="44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580" w:val="left"/>
          <w:tab w:leader="none" w:pos="2360" w:val="left"/>
        </w:tabs>
        <w:rPr>
          <w:sz w:val="20"/>
          <w:szCs w:val="20"/>
          <w:color w:val="auto"/>
        </w:rPr>
      </w:pPr>
      <w:r>
        <w:rPr>
          <w:rFonts w:ascii="Times New Roman" w:cs="Times New Roman" w:eastAsia="Times New Roman" w:hAnsi="Times New Roman"/>
          <w:sz w:val="22"/>
          <w:szCs w:val="22"/>
          <w:color w:val="auto"/>
        </w:rPr>
        <w:t>UAL-PA-04815</w:t>
        <w:tab/>
        <w:t>SA-15</w:t>
        <w:tab/>
        <w:t>Page 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Purchase Agreement will be deemed supplemented to the extent provided herein as of the date hereof and as so supplemented will continue in full force and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IN DUPLICATE as of the day and year first written above.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THE BOEING COMPANY</w:t>
      </w:r>
    </w:p>
    <w:p>
      <w:pPr>
        <w:spacing w:after="0" w:line="33"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22"/>
          <w:szCs w:val="22"/>
          <w:color w:val="auto"/>
        </w:rPr>
        <w:t>/s/ Irma L. Krueger</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0861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7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22"/>
          <w:szCs w:val="22"/>
          <w:color w:val="auto"/>
        </w:rPr>
        <w:t>Irma. L. Krueger</w:t>
      </w:r>
    </w:p>
    <w:p>
      <w:pPr>
        <w:spacing w:after="0" w:line="44"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0861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7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22"/>
          <w:szCs w:val="22"/>
          <w:color w:val="auto"/>
        </w:rPr>
        <w:t>Attorney-in-Fact</w:t>
      </w:r>
    </w:p>
    <w:p>
      <w:pPr>
        <w:spacing w:after="0" w:line="85"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0861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8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3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/s/ John Gebo</w:t>
      </w:r>
    </w:p>
    <w:p>
      <w:pPr>
        <w:spacing w:after="0" w:line="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-160020</wp:posOffset>
            </wp:positionV>
            <wp:extent cx="37630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81">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6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John Gebo</w:t>
      </w:r>
    </w:p>
    <w:p>
      <w:pPr>
        <w:spacing w:after="0" w:line="39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-160020</wp:posOffset>
            </wp:positionV>
            <wp:extent cx="37630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8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SVP Treasury, Fleet &amp; Fuel</w:t>
      </w:r>
    </w:p>
    <w:p>
      <w:pPr>
        <w:spacing w:after="0" w:line="9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-160020</wp:posOffset>
            </wp:positionV>
            <wp:extent cx="37630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83">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580" w:val="left"/>
          <w:tab w:leader="none" w:pos="2360" w:val="left"/>
        </w:tabs>
        <w:rPr>
          <w:sz w:val="20"/>
          <w:szCs w:val="20"/>
          <w:color w:val="auto"/>
        </w:rPr>
      </w:pPr>
      <w:r>
        <w:rPr>
          <w:rFonts w:ascii="Times New Roman" w:cs="Times New Roman" w:eastAsia="Times New Roman" w:hAnsi="Times New Roman"/>
          <w:sz w:val="22"/>
          <w:szCs w:val="22"/>
          <w:color w:val="auto"/>
        </w:rPr>
        <w:t>UAL-PA-04815</w:t>
        <w:tab/>
        <w:t>SA-15</w:t>
        <w:tab/>
        <w:t>Page 5</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BOEING / UNITED AIRLINES, INC. PROPRIETARY</w:t>
      </w:r>
    </w:p>
    <w:p>
      <w:pPr>
        <w:sectPr>
          <w:pgSz w:w="11900" w:h="16838" w:orient="portrait"/>
          <w:cols w:equalWidth="0" w:num="1">
            <w:col w:w="11240"/>
          </w:cols>
          <w:pgMar w:left="320" w:top="1440" w:right="339" w:bottom="1440" w:gutter="0" w:footer="0" w:header="0"/>
          <w:type w:val="continuous"/>
        </w:sectPr>
      </w:pPr>
    </w:p>
    <w:bookmarkStart w:id="146" w:name="page147"/>
    <w:bookmarkEnd w:id="146"/>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9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0" w:type="dxa"/>
            <w:vAlign w:val="bottom"/>
          </w:tcPr>
          <w:p>
            <w:pPr>
              <w:spacing w:after="0"/>
              <w:rPr>
                <w:sz w:val="1"/>
                <w:szCs w:val="1"/>
                <w:color w:val="auto"/>
              </w:rPr>
            </w:pPr>
          </w:p>
        </w:tc>
      </w:tr>
      <w:tr>
        <w:trPr>
          <w:trHeight w:val="447"/>
        </w:trPr>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ARTICLES</w:t>
            </w:r>
          </w:p>
        </w:tc>
        <w:tc>
          <w:tcPr>
            <w:tcW w:w="13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440" w:type="dxa"/>
            <w:vAlign w:val="bottom"/>
            <w:gridSpan w:val="4"/>
          </w:tcPr>
          <w:p>
            <w:pPr>
              <w:jc w:val="center"/>
              <w:ind w:right="1340"/>
              <w:spacing w:after="0"/>
              <w:rPr>
                <w:sz w:val="20"/>
                <w:szCs w:val="20"/>
                <w:color w:val="auto"/>
              </w:rPr>
            </w:pPr>
            <w:r>
              <w:rPr>
                <w:rFonts w:ascii="Times New Roman" w:cs="Times New Roman" w:eastAsia="Times New Roman" w:hAnsi="Times New Roman"/>
                <w:sz w:val="22"/>
                <w:szCs w:val="22"/>
                <w:color w:val="auto"/>
                <w:w w:val="98"/>
              </w:rPr>
              <w:t>Article 1.</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Quantity, Model and Description</w:t>
            </w:r>
          </w:p>
        </w:tc>
        <w:tc>
          <w:tcPr>
            <w:tcW w:w="0" w:type="dxa"/>
            <w:vAlign w:val="bottom"/>
          </w:tcPr>
          <w:p>
            <w:pPr>
              <w:spacing w:after="0"/>
              <w:rPr>
                <w:sz w:val="1"/>
                <w:szCs w:val="1"/>
                <w:color w:val="auto"/>
              </w:rPr>
            </w:pPr>
          </w:p>
        </w:tc>
      </w:tr>
      <w:tr>
        <w:trPr>
          <w:trHeight w:val="418"/>
        </w:trPr>
        <w:tc>
          <w:tcPr>
            <w:tcW w:w="2440" w:type="dxa"/>
            <w:vAlign w:val="bottom"/>
            <w:gridSpan w:val="4"/>
          </w:tcPr>
          <w:p>
            <w:pPr>
              <w:jc w:val="center"/>
              <w:ind w:right="1340"/>
              <w:spacing w:after="0"/>
              <w:rPr>
                <w:sz w:val="20"/>
                <w:szCs w:val="20"/>
                <w:color w:val="auto"/>
              </w:rPr>
            </w:pPr>
            <w:r>
              <w:rPr>
                <w:rFonts w:ascii="Times New Roman" w:cs="Times New Roman" w:eastAsia="Times New Roman" w:hAnsi="Times New Roman"/>
                <w:sz w:val="22"/>
                <w:szCs w:val="22"/>
                <w:color w:val="auto"/>
                <w:w w:val="98"/>
              </w:rPr>
              <w:t>Article 2.</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Delivery Schedule</w:t>
            </w:r>
          </w:p>
        </w:tc>
        <w:tc>
          <w:tcPr>
            <w:tcW w:w="0" w:type="dxa"/>
            <w:vAlign w:val="bottom"/>
          </w:tcPr>
          <w:p>
            <w:pPr>
              <w:spacing w:after="0"/>
              <w:rPr>
                <w:sz w:val="1"/>
                <w:szCs w:val="1"/>
                <w:color w:val="auto"/>
              </w:rPr>
            </w:pPr>
          </w:p>
        </w:tc>
      </w:tr>
      <w:tr>
        <w:trPr>
          <w:trHeight w:val="418"/>
        </w:trPr>
        <w:tc>
          <w:tcPr>
            <w:tcW w:w="2440" w:type="dxa"/>
            <w:vAlign w:val="bottom"/>
            <w:gridSpan w:val="4"/>
          </w:tcPr>
          <w:p>
            <w:pPr>
              <w:jc w:val="center"/>
              <w:ind w:right="1340"/>
              <w:spacing w:after="0"/>
              <w:rPr>
                <w:sz w:val="20"/>
                <w:szCs w:val="20"/>
                <w:color w:val="auto"/>
              </w:rPr>
            </w:pPr>
            <w:r>
              <w:rPr>
                <w:rFonts w:ascii="Times New Roman" w:cs="Times New Roman" w:eastAsia="Times New Roman" w:hAnsi="Times New Roman"/>
                <w:sz w:val="22"/>
                <w:szCs w:val="22"/>
                <w:color w:val="auto"/>
                <w:w w:val="98"/>
              </w:rPr>
              <w:t>Article 3.</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Price</w:t>
            </w:r>
          </w:p>
        </w:tc>
        <w:tc>
          <w:tcPr>
            <w:tcW w:w="0" w:type="dxa"/>
            <w:vAlign w:val="bottom"/>
          </w:tcPr>
          <w:p>
            <w:pPr>
              <w:spacing w:after="0"/>
              <w:rPr>
                <w:sz w:val="1"/>
                <w:szCs w:val="1"/>
                <w:color w:val="auto"/>
              </w:rPr>
            </w:pPr>
          </w:p>
        </w:tc>
      </w:tr>
      <w:tr>
        <w:trPr>
          <w:trHeight w:val="418"/>
        </w:trPr>
        <w:tc>
          <w:tcPr>
            <w:tcW w:w="2440" w:type="dxa"/>
            <w:vAlign w:val="bottom"/>
            <w:gridSpan w:val="4"/>
          </w:tcPr>
          <w:p>
            <w:pPr>
              <w:jc w:val="center"/>
              <w:ind w:right="1340"/>
              <w:spacing w:after="0"/>
              <w:rPr>
                <w:sz w:val="20"/>
                <w:szCs w:val="20"/>
                <w:color w:val="auto"/>
              </w:rPr>
            </w:pPr>
            <w:r>
              <w:rPr>
                <w:rFonts w:ascii="Times New Roman" w:cs="Times New Roman" w:eastAsia="Times New Roman" w:hAnsi="Times New Roman"/>
                <w:sz w:val="22"/>
                <w:szCs w:val="22"/>
                <w:color w:val="auto"/>
                <w:w w:val="98"/>
              </w:rPr>
              <w:t>Article 4.</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338"/>
        </w:trPr>
        <w:tc>
          <w:tcPr>
            <w:tcW w:w="2440" w:type="dxa"/>
            <w:vAlign w:val="bottom"/>
            <w:gridSpan w:val="4"/>
            <w:vMerge w:val="restart"/>
          </w:tcPr>
          <w:p>
            <w:pPr>
              <w:jc w:val="center"/>
              <w:ind w:right="1340"/>
              <w:spacing w:after="0"/>
              <w:rPr>
                <w:sz w:val="20"/>
                <w:szCs w:val="20"/>
                <w:color w:val="auto"/>
              </w:rPr>
            </w:pPr>
            <w:r>
              <w:rPr>
                <w:rFonts w:ascii="Times New Roman" w:cs="Times New Roman" w:eastAsia="Times New Roman" w:hAnsi="Times New Roman"/>
                <w:sz w:val="22"/>
                <w:szCs w:val="22"/>
                <w:color w:val="auto"/>
                <w:w w:val="98"/>
              </w:rPr>
              <w:t>Article 5.</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Additional Terms</w:t>
            </w:r>
          </w:p>
        </w:tc>
        <w:tc>
          <w:tcPr>
            <w:tcW w:w="0" w:type="dxa"/>
            <w:vAlign w:val="bottom"/>
          </w:tcPr>
          <w:p>
            <w:pPr>
              <w:spacing w:after="0"/>
              <w:rPr>
                <w:sz w:val="1"/>
                <w:szCs w:val="1"/>
                <w:color w:val="auto"/>
              </w:rPr>
            </w:pPr>
          </w:p>
        </w:tc>
      </w:tr>
      <w:tr>
        <w:trPr>
          <w:trHeight w:val="81"/>
        </w:trPr>
        <w:tc>
          <w:tcPr>
            <w:tcW w:w="2440" w:type="dxa"/>
            <w:vAlign w:val="bottom"/>
            <w:gridSpan w:val="4"/>
            <w:vMerge w:val="continue"/>
          </w:tcPr>
          <w:p>
            <w:pPr>
              <w:spacing w:after="0"/>
              <w:rPr>
                <w:sz w:val="7"/>
                <w:szCs w:val="7"/>
                <w:color w:val="auto"/>
              </w:rPr>
            </w:pPr>
          </w:p>
        </w:tc>
        <w:tc>
          <w:tcPr>
            <w:tcW w:w="6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4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TABLE</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787-*** Aircraft Delivery, Description, Price and ***</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700"/>
              <w:spacing w:after="0"/>
              <w:rPr>
                <w:sz w:val="20"/>
                <w:szCs w:val="20"/>
                <w:color w:val="auto"/>
              </w:rPr>
            </w:pPr>
            <w:r>
              <w:rPr>
                <w:rFonts w:ascii="Times New Roman" w:cs="Times New Roman" w:eastAsia="Times New Roman" w:hAnsi="Times New Roman"/>
                <w:sz w:val="22"/>
                <w:szCs w:val="22"/>
                <w:color w:val="auto"/>
              </w:rPr>
              <w:t>(*** 787-*** Aircraft)</w:t>
            </w:r>
          </w:p>
        </w:tc>
        <w:tc>
          <w:tcPr>
            <w:tcW w:w="0" w:type="dxa"/>
            <w:vAlign w:val="bottom"/>
          </w:tcPr>
          <w:p>
            <w:pPr>
              <w:spacing w:after="0"/>
              <w:rPr>
                <w:sz w:val="1"/>
                <w:szCs w:val="1"/>
                <w:color w:val="auto"/>
              </w:rPr>
            </w:pPr>
          </w:p>
        </w:tc>
      </w:tr>
      <w:tr>
        <w:trPr>
          <w:trHeight w:val="389"/>
        </w:trPr>
        <w:tc>
          <w:tcPr>
            <w:tcW w:w="7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b w:val="1"/>
                <w:bCs w:val="1"/>
                <w:color w:val="auto"/>
                <w:w w:val="97"/>
              </w:rPr>
              <w:t>*** 787 -*** Aircraft (Prior to *** Configuration) Delivery,</w:t>
            </w:r>
          </w:p>
        </w:tc>
        <w:tc>
          <w:tcPr>
            <w:tcW w:w="0" w:type="dxa"/>
            <w:vAlign w:val="bottom"/>
          </w:tcPr>
          <w:p>
            <w:pPr>
              <w:spacing w:after="0"/>
              <w:rPr>
                <w:sz w:val="1"/>
                <w:szCs w:val="1"/>
                <w:color w:val="auto"/>
              </w:rPr>
            </w:pPr>
          </w:p>
        </w:tc>
      </w:tr>
      <w:tr>
        <w:trPr>
          <w:trHeight w:val="286"/>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700"/>
              <w:spacing w:after="0"/>
              <w:rPr>
                <w:sz w:val="20"/>
                <w:szCs w:val="20"/>
                <w:color w:val="auto"/>
              </w:rPr>
            </w:pPr>
            <w:r>
              <w:rPr>
                <w:rFonts w:ascii="Times New Roman" w:cs="Times New Roman" w:eastAsia="Times New Roman" w:hAnsi="Times New Roman"/>
                <w:sz w:val="22"/>
                <w:szCs w:val="22"/>
                <w:b w:val="1"/>
                <w:bCs w:val="1"/>
                <w:color w:val="auto"/>
              </w:rPr>
              <w:t>Description, Price and *** 787-*** Aircraft)</w:t>
            </w:r>
          </w:p>
        </w:tc>
        <w:tc>
          <w:tcPr>
            <w:tcW w:w="0" w:type="dxa"/>
            <w:vAlign w:val="bottom"/>
          </w:tcPr>
          <w:p>
            <w:pPr>
              <w:spacing w:after="0"/>
              <w:rPr>
                <w:sz w:val="1"/>
                <w:szCs w:val="1"/>
                <w:color w:val="auto"/>
              </w:rPr>
            </w:pPr>
          </w:p>
        </w:tc>
      </w:tr>
      <w:tr>
        <w:trPr>
          <w:trHeight w:val="418"/>
        </w:trPr>
        <w:tc>
          <w:tcPr>
            <w:tcW w:w="7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b w:val="1"/>
                <w:bCs w:val="1"/>
                <w:color w:val="auto"/>
              </w:rPr>
              <w:t>*** 787-*** Aircraft Delivery, Description, Price and ***</w:t>
            </w:r>
          </w:p>
        </w:tc>
        <w:tc>
          <w:tcPr>
            <w:tcW w:w="0" w:type="dxa"/>
            <w:vAlign w:val="bottom"/>
          </w:tcPr>
          <w:p>
            <w:pPr>
              <w:spacing w:after="0"/>
              <w:rPr>
                <w:sz w:val="1"/>
                <w:szCs w:val="1"/>
                <w:color w:val="auto"/>
              </w:rPr>
            </w:pPr>
          </w:p>
        </w:tc>
      </w:tr>
      <w:tr>
        <w:trPr>
          <w:trHeight w:val="419"/>
        </w:trPr>
        <w:tc>
          <w:tcPr>
            <w:tcW w:w="7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b w:val="1"/>
                <w:bCs w:val="1"/>
                <w:color w:val="auto"/>
              </w:rPr>
              <w:t>*** 787-*** Aircraft Delivery, Description, Price and ***</w:t>
            </w:r>
          </w:p>
        </w:tc>
        <w:tc>
          <w:tcPr>
            <w:tcW w:w="0" w:type="dxa"/>
            <w:vAlign w:val="bottom"/>
          </w:tcPr>
          <w:p>
            <w:pPr>
              <w:spacing w:after="0"/>
              <w:rPr>
                <w:sz w:val="1"/>
                <w:szCs w:val="1"/>
                <w:color w:val="auto"/>
              </w:rPr>
            </w:pPr>
          </w:p>
        </w:tc>
      </w:tr>
      <w:tr>
        <w:trPr>
          <w:trHeight w:val="418"/>
        </w:trPr>
        <w:tc>
          <w:tcPr>
            <w:tcW w:w="7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787-*** Aircraft Delivery, Description, Price and ***</w:t>
            </w:r>
          </w:p>
        </w:tc>
        <w:tc>
          <w:tcPr>
            <w:tcW w:w="0" w:type="dxa"/>
            <w:vAlign w:val="bottom"/>
          </w:tcPr>
          <w:p>
            <w:pPr>
              <w:spacing w:after="0"/>
              <w:rPr>
                <w:sz w:val="1"/>
                <w:szCs w:val="1"/>
                <w:color w:val="auto"/>
              </w:rPr>
            </w:pPr>
          </w:p>
        </w:tc>
      </w:tr>
      <w:tr>
        <w:trPr>
          <w:trHeight w:val="389"/>
        </w:trPr>
        <w:tc>
          <w:tcPr>
            <w:tcW w:w="7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b w:val="1"/>
                <w:bCs w:val="1"/>
                <w:color w:val="auto"/>
              </w:rPr>
              <w:t>*** 787-*** Aircraft with *** Engines Delivery,</w:t>
            </w:r>
          </w:p>
        </w:tc>
        <w:tc>
          <w:tcPr>
            <w:tcW w:w="0" w:type="dxa"/>
            <w:vAlign w:val="bottom"/>
          </w:tcPr>
          <w:p>
            <w:pPr>
              <w:spacing w:after="0"/>
              <w:rPr>
                <w:sz w:val="1"/>
                <w:szCs w:val="1"/>
                <w:color w:val="auto"/>
              </w:rPr>
            </w:pPr>
          </w:p>
        </w:tc>
      </w:tr>
      <w:tr>
        <w:trPr>
          <w:trHeight w:val="286"/>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tcPr>
          <w:p>
            <w:pPr>
              <w:ind w:left="1700"/>
              <w:spacing w:after="0"/>
              <w:rPr>
                <w:sz w:val="20"/>
                <w:szCs w:val="20"/>
                <w:color w:val="auto"/>
              </w:rPr>
            </w:pPr>
            <w:r>
              <w:rPr>
                <w:rFonts w:ascii="Times New Roman" w:cs="Times New Roman" w:eastAsia="Times New Roman" w:hAnsi="Times New Roman"/>
                <w:sz w:val="22"/>
                <w:szCs w:val="22"/>
                <w:b w:val="1"/>
                <w:bCs w:val="1"/>
                <w:color w:val="auto"/>
              </w:rPr>
              <w:t>Description, Price and ***</w:t>
            </w:r>
          </w:p>
        </w:tc>
        <w:tc>
          <w:tcPr>
            <w:tcW w:w="0" w:type="dxa"/>
            <w:vAlign w:val="bottom"/>
          </w:tcPr>
          <w:p>
            <w:pPr>
              <w:spacing w:after="0"/>
              <w:rPr>
                <w:sz w:val="1"/>
                <w:szCs w:val="1"/>
                <w:color w:val="auto"/>
              </w:rPr>
            </w:pPr>
          </w:p>
        </w:tc>
      </w:tr>
      <w:tr>
        <w:trPr>
          <w:trHeight w:val="312"/>
        </w:trPr>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EXHIBITS</w:t>
            </w:r>
          </w:p>
        </w:tc>
        <w:tc>
          <w:tcPr>
            <w:tcW w:w="1400" w:type="dxa"/>
            <w:vAlign w:val="bottom"/>
            <w:gridSpan w:val="2"/>
          </w:tcPr>
          <w:p>
            <w:pPr>
              <w:spacing w:after="0"/>
              <w:rPr>
                <w:sz w:val="24"/>
                <w:szCs w:val="24"/>
                <w:color w:val="auto"/>
              </w:rPr>
            </w:pP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44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A</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787-*** Aircraft Configuration for the *** 787-*** Aircraft</w:t>
            </w:r>
          </w:p>
        </w:tc>
        <w:tc>
          <w:tcPr>
            <w:tcW w:w="0" w:type="dxa"/>
            <w:vAlign w:val="bottom"/>
          </w:tcPr>
          <w:p>
            <w:pPr>
              <w:spacing w:after="0"/>
              <w:rPr>
                <w:sz w:val="1"/>
                <w:szCs w:val="1"/>
                <w:color w:val="auto"/>
              </w:rPr>
            </w:pPr>
          </w:p>
        </w:tc>
      </w:tr>
      <w:tr>
        <w:trPr>
          <w:trHeight w:val="419"/>
        </w:trPr>
        <w:tc>
          <w:tcPr>
            <w:tcW w:w="2440" w:type="dxa"/>
            <w:vAlign w:val="bottom"/>
            <w:gridSpan w:val="4"/>
          </w:tcPr>
          <w:p>
            <w:pPr>
              <w:ind w:left="200"/>
              <w:spacing w:after="0"/>
              <w:rPr>
                <w:sz w:val="20"/>
                <w:szCs w:val="20"/>
                <w:color w:val="auto"/>
              </w:rPr>
            </w:pPr>
            <w:r>
              <w:rPr>
                <w:rFonts w:ascii="Times New Roman" w:cs="Times New Roman" w:eastAsia="Times New Roman" w:hAnsi="Times New Roman"/>
                <w:sz w:val="22"/>
                <w:szCs w:val="22"/>
                <w:b w:val="1"/>
                <w:bCs w:val="1"/>
                <w:color w:val="auto"/>
              </w:rPr>
              <w:t>A</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b w:val="1"/>
                <w:bCs w:val="1"/>
                <w:color w:val="auto"/>
              </w:rPr>
              <w:t>787-*** Aircraft Configuration for the *** Aircraft</w:t>
            </w:r>
          </w:p>
        </w:tc>
        <w:tc>
          <w:tcPr>
            <w:tcW w:w="0" w:type="dxa"/>
            <w:vAlign w:val="bottom"/>
          </w:tcPr>
          <w:p>
            <w:pPr>
              <w:spacing w:after="0"/>
              <w:rPr>
                <w:sz w:val="1"/>
                <w:szCs w:val="1"/>
                <w:color w:val="auto"/>
              </w:rPr>
            </w:pPr>
          </w:p>
        </w:tc>
      </w:tr>
      <w:tr>
        <w:trPr>
          <w:trHeight w:val="418"/>
        </w:trPr>
        <w:tc>
          <w:tcPr>
            <w:tcW w:w="2440" w:type="dxa"/>
            <w:vAlign w:val="bottom"/>
            <w:gridSpan w:val="4"/>
          </w:tcPr>
          <w:p>
            <w:pPr>
              <w:ind w:left="200"/>
              <w:spacing w:after="0"/>
              <w:rPr>
                <w:sz w:val="20"/>
                <w:szCs w:val="20"/>
                <w:color w:val="auto"/>
              </w:rPr>
            </w:pPr>
            <w:r>
              <w:rPr>
                <w:rFonts w:ascii="Times New Roman" w:cs="Times New Roman" w:eastAsia="Times New Roman" w:hAnsi="Times New Roman"/>
                <w:sz w:val="22"/>
                <w:szCs w:val="22"/>
                <w:b w:val="1"/>
                <w:bCs w:val="1"/>
                <w:color w:val="auto"/>
              </w:rPr>
              <w:t>A</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b w:val="1"/>
                <w:bCs w:val="1"/>
                <w:color w:val="auto"/>
              </w:rPr>
              <w:t>787-*** Aircraft *** Configuration</w:t>
            </w:r>
          </w:p>
        </w:tc>
        <w:tc>
          <w:tcPr>
            <w:tcW w:w="0" w:type="dxa"/>
            <w:vAlign w:val="bottom"/>
          </w:tcPr>
          <w:p>
            <w:pPr>
              <w:spacing w:after="0"/>
              <w:rPr>
                <w:sz w:val="1"/>
                <w:szCs w:val="1"/>
                <w:color w:val="auto"/>
              </w:rPr>
            </w:pPr>
          </w:p>
        </w:tc>
      </w:tr>
      <w:tr>
        <w:trPr>
          <w:trHeight w:val="418"/>
        </w:trPr>
        <w:tc>
          <w:tcPr>
            <w:tcW w:w="244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A2</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787-*** Aircraft Configuration</w:t>
            </w:r>
          </w:p>
        </w:tc>
        <w:tc>
          <w:tcPr>
            <w:tcW w:w="0" w:type="dxa"/>
            <w:vAlign w:val="bottom"/>
          </w:tcPr>
          <w:p>
            <w:pPr>
              <w:spacing w:after="0"/>
              <w:rPr>
                <w:sz w:val="1"/>
                <w:szCs w:val="1"/>
                <w:color w:val="auto"/>
              </w:rPr>
            </w:pPr>
          </w:p>
        </w:tc>
      </w:tr>
      <w:tr>
        <w:trPr>
          <w:trHeight w:val="419"/>
        </w:trPr>
        <w:tc>
          <w:tcPr>
            <w:tcW w:w="244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B.</w:t>
            </w:r>
          </w:p>
        </w:tc>
        <w:tc>
          <w:tcPr>
            <w:tcW w:w="68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Aircraft Delivery Requirements and Responsibilities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20"/>
        <w:spacing w:after="0"/>
        <w:tabs>
          <w:tab w:leader="none" w:pos="4600" w:val="left"/>
          <w:tab w:leader="none" w:pos="7480" w:val="left"/>
        </w:tabs>
        <w:rPr>
          <w:sz w:val="20"/>
          <w:szCs w:val="20"/>
          <w:color w:val="auto"/>
        </w:rPr>
      </w:pPr>
      <w:r>
        <w:rPr>
          <w:rFonts w:ascii="Times New Roman" w:cs="Times New Roman" w:eastAsia="Times New Roman" w:hAnsi="Times New Roman"/>
          <w:sz w:val="22"/>
          <w:szCs w:val="22"/>
          <w:color w:val="auto"/>
        </w:rPr>
        <w:t>UAL-PA-04815</w:t>
        <w:tab/>
        <w:t>Table of Contents, Page 1 of 4</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SA </w:t>
      </w:r>
      <w:r>
        <w:rPr>
          <w:rFonts w:ascii="Times New Roman" w:cs="Times New Roman" w:eastAsia="Times New Roman" w:hAnsi="Times New Roman"/>
          <w:sz w:val="21"/>
          <w:szCs w:val="21"/>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SA-6</w:t>
      </w:r>
    </w:p>
    <w:p>
      <w:pPr>
        <w:spacing w:after="0" w:line="200" w:lineRule="exact"/>
        <w:rPr>
          <w:sz w:val="20"/>
          <w:szCs w:val="20"/>
          <w:color w:val="auto"/>
        </w:rPr>
      </w:pP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200" w:lineRule="exact"/>
        <w:rPr>
          <w:sz w:val="20"/>
          <w:szCs w:val="20"/>
          <w:color w:val="auto"/>
        </w:rPr>
      </w:pP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SA-8</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SA-6</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ectPr>
          <w:pgSz w:w="11900" w:h="16838" w:orient="portrait"/>
          <w:cols w:equalWidth="0" w:num="2">
            <w:col w:w="9280" w:space="340"/>
            <w:col w:w="1280"/>
          </w:cols>
          <w:pgMar w:left="400" w:top="1440" w:right="599" w:bottom="1440" w:gutter="0" w:footer="0" w:header="0"/>
        </w:sectPr>
      </w:pPr>
    </w:p>
    <w:bookmarkStart w:id="147" w:name="page148"/>
    <w:bookmarkEnd w:id="147"/>
    <w:p>
      <w:pPr>
        <w:spacing w:after="0" w:line="3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u w:val="single" w:color="auto"/>
          <w:color w:val="auto"/>
        </w:rPr>
        <w:t>TABLE OF CONTENTS, CONTINUED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SUPPLEMENTAL 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SA</w:t>
      </w:r>
    </w:p>
    <w:p>
      <w:pPr>
        <w:spacing w:after="0" w:line="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u w:val="single" w:color="auto"/>
          <w:color w:val="auto"/>
        </w:rPr>
        <w:t>NUMBER</w:t>
      </w:r>
    </w:p>
    <w:p>
      <w:pPr>
        <w:spacing w:after="0" w:line="99" w:lineRule="exact"/>
        <w:rPr>
          <w:sz w:val="20"/>
          <w:szCs w:val="20"/>
          <w:color w:val="auto"/>
        </w:rPr>
      </w:pPr>
    </w:p>
    <w:p>
      <w:pPr>
        <w:sectPr>
          <w:pgSz w:w="11900" w:h="16838" w:orient="portrait"/>
          <w:cols w:equalWidth="0" w:num="2">
            <w:col w:w="9060" w:space="720"/>
            <w:col w:w="1120"/>
          </w:cols>
          <w:pgMar w:left="400" w:top="1440" w:right="599" w:bottom="1440" w:gutter="0" w:footer="0" w:header="0"/>
        </w:sectPr>
      </w:pPr>
    </w:p>
    <w:p>
      <w:pPr>
        <w:ind w:left="200"/>
        <w:spacing w:after="0"/>
        <w:rPr>
          <w:sz w:val="20"/>
          <w:szCs w:val="20"/>
          <w:color w:val="auto"/>
        </w:rPr>
      </w:pPr>
      <w:r>
        <w:rPr>
          <w:rFonts w:ascii="Times New Roman" w:cs="Times New Roman" w:eastAsia="Times New Roman" w:hAnsi="Times New Roman"/>
          <w:sz w:val="22"/>
          <w:szCs w:val="22"/>
          <w:color w:val="auto"/>
        </w:rPr>
        <w:t>AE1.</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BFE1.</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BFE1.</w:t>
      </w:r>
    </w:p>
    <w:p>
      <w:pPr>
        <w:spacing w:after="0" w:line="1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BFE1.</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CS1.</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EE1.</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SLP1.</w:t>
      </w:r>
    </w:p>
    <w:p>
      <w:pPr>
        <w:spacing w:after="0" w:line="2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LETTER AGREEMENTS </w:t>
      </w:r>
      <w:r>
        <w:rPr>
          <w:rFonts w:ascii="Times New Roman" w:cs="Times New Roman" w:eastAsia="Times New Roman" w:hAnsi="Times New Roman"/>
          <w:sz w:val="21"/>
          <w:szCs w:val="21"/>
          <w:color w:val="auto"/>
        </w:rPr>
        <w:t>LA-1802882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LA-1802885R2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LA-1802886R7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LA-1802888</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LA-1802889</w:t>
      </w:r>
    </w:p>
    <w:p>
      <w:pPr>
        <w:spacing w:after="0" w:line="200" w:lineRule="exact"/>
        <w:rPr>
          <w:sz w:val="20"/>
          <w:szCs w:val="20"/>
          <w:color w:val="auto"/>
        </w:rPr>
      </w:pPr>
    </w:p>
    <w:p>
      <w:pPr>
        <w:spacing w:after="0" w:line="29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LETTER AGREEMENTS </w:t>
      </w:r>
      <w:r>
        <w:rPr>
          <w:rFonts w:ascii="Times New Roman" w:cs="Times New Roman" w:eastAsia="Times New Roman" w:hAnsi="Times New Roman"/>
          <w:sz w:val="21"/>
          <w:szCs w:val="21"/>
          <w:color w:val="auto"/>
        </w:rPr>
        <w:t>LA-1802890</w:t>
      </w:r>
    </w:p>
    <w:p>
      <w:pPr>
        <w:spacing w:after="0" w:line="20" w:lineRule="exact"/>
        <w:rPr>
          <w:sz w:val="20"/>
          <w:szCs w:val="20"/>
          <w:color w:val="auto"/>
        </w:rPr>
      </w:pPr>
      <w:r>
        <w:rPr>
          <w:sz w:val="20"/>
          <w:szCs w:val="20"/>
          <w:color w:val="auto"/>
        </w:rPr>
        <w:br w:type="column"/>
      </w:r>
    </w:p>
    <w:p>
      <w:pPr>
        <w:ind w:left="1000"/>
        <w:spacing w:after="0"/>
        <w:rPr>
          <w:sz w:val="20"/>
          <w:szCs w:val="20"/>
          <w:color w:val="auto"/>
        </w:rPr>
      </w:pPr>
      <w:r>
        <w:rPr>
          <w:rFonts w:ascii="Times New Roman" w:cs="Times New Roman" w:eastAsia="Times New Roman" w:hAnsi="Times New Roman"/>
          <w:sz w:val="22"/>
          <w:szCs w:val="22"/>
          <w:color w:val="auto"/>
        </w:rPr>
        <w:t>*** Features for the 787 Aircraft</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BFE Variables 787-*** Aircraft for the *** Aircraft</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BFE Variables *** 787-*** Aircraft</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BFE Variables 787-*** Aircraft</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Customer Support Document</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Engine ***, Engine Warranty and ***</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Service Life Policy Components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540" w:right="100" w:hanging="550"/>
        <w:spacing w:after="0" w:line="271" w:lineRule="auto"/>
        <w:rPr>
          <w:sz w:val="20"/>
          <w:szCs w:val="20"/>
          <w:color w:val="auto"/>
        </w:rPr>
      </w:pPr>
      <w:r>
        <w:rPr>
          <w:rFonts w:ascii="Times New Roman" w:cs="Times New Roman" w:eastAsia="Times New Roman" w:hAnsi="Times New Roman"/>
          <w:sz w:val="22"/>
          <w:szCs w:val="22"/>
          <w:color w:val="auto"/>
        </w:rPr>
        <w:t>Special Matters Relating to COTS Software and End User License Agreements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Installation of Cabin Systems Equipment</w:t>
      </w: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Model 787 Post-Delivery Software &amp; Data Loading</w:t>
      </w:r>
    </w:p>
    <w:p>
      <w:pPr>
        <w:spacing w:after="0" w:line="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Aircraft Model ***</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Attachment A, 787-*** with ***</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Attachment B, 787-***</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Attachment C, 787-*** Airframe *** Aircraft with ***</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Special Matters</w:t>
      </w:r>
    </w:p>
    <w:p>
      <w:pPr>
        <w:spacing w:after="0" w:line="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 for 787-*** Aircraft</w:t>
      </w:r>
    </w:p>
    <w:p>
      <w:pPr>
        <w:spacing w:after="0" w:line="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Demonstration Flight Waiver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 CONTINUED</w:t>
      </w:r>
    </w:p>
    <w:p>
      <w:pPr>
        <w:spacing w:after="0" w:line="200" w:lineRule="exact"/>
        <w:rPr>
          <w:sz w:val="20"/>
          <w:szCs w:val="20"/>
          <w:color w:val="auto"/>
        </w:rPr>
      </w:pPr>
    </w:p>
    <w:p>
      <w:pPr>
        <w:spacing w:after="0" w:line="2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Privileged and Confidential Matters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SA-6</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SA </w:t>
      </w:r>
      <w:r>
        <w:rPr>
          <w:rFonts w:ascii="Times New Roman" w:cs="Times New Roman" w:eastAsia="Times New Roman" w:hAnsi="Times New Roman"/>
          <w:sz w:val="21"/>
          <w:szCs w:val="21"/>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SA-13</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SA </w:t>
      </w:r>
      <w:r>
        <w:rPr>
          <w:rFonts w:ascii="Times New Roman" w:cs="Times New Roman" w:eastAsia="Times New Roman" w:hAnsi="Times New Roman"/>
          <w:sz w:val="21"/>
          <w:szCs w:val="21"/>
          <w:b w:val="1"/>
          <w:bCs w:val="1"/>
          <w:u w:val="single" w:color="auto"/>
          <w:color w:val="auto"/>
        </w:rPr>
        <w:t>NUMBER</w:t>
      </w:r>
    </w:p>
    <w:p>
      <w:pPr>
        <w:spacing w:after="0" w:line="736" w:lineRule="exact"/>
        <w:rPr>
          <w:sz w:val="20"/>
          <w:szCs w:val="20"/>
          <w:color w:val="auto"/>
        </w:rPr>
      </w:pPr>
    </w:p>
    <w:p>
      <w:pPr>
        <w:sectPr>
          <w:pgSz w:w="11900" w:h="16838" w:orient="portrait"/>
          <w:cols w:equalWidth="0" w:num="3">
            <w:col w:w="2460" w:space="320"/>
            <w:col w:w="6120" w:space="720"/>
            <w:col w:w="1280"/>
          </w:cols>
          <w:pgMar w:left="400" w:top="1440"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20"/>
        <w:spacing w:after="0"/>
        <w:tabs>
          <w:tab w:leader="none" w:pos="4600" w:val="left"/>
          <w:tab w:leader="none" w:pos="7480" w:val="left"/>
        </w:tabs>
        <w:rPr>
          <w:sz w:val="20"/>
          <w:szCs w:val="20"/>
          <w:color w:val="auto"/>
        </w:rPr>
      </w:pPr>
      <w:r>
        <w:rPr>
          <w:rFonts w:ascii="Times New Roman" w:cs="Times New Roman" w:eastAsia="Times New Roman" w:hAnsi="Times New Roman"/>
          <w:sz w:val="22"/>
          <w:szCs w:val="22"/>
          <w:color w:val="auto"/>
        </w:rPr>
        <w:t>UAL-PA-04815</w:t>
        <w:tab/>
        <w:t>Table of Contents, Page 2 of 4</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b w:val="1"/>
          <w:bCs w:val="1"/>
          <w:color w:val="auto"/>
        </w:rPr>
        <w:t>BOEING / UNITED AIRLINES, INC. PROPRIETARY</w:t>
      </w:r>
    </w:p>
    <w:p>
      <w:pPr>
        <w:sectPr>
          <w:pgSz w:w="11900" w:h="16838" w:orient="portrait"/>
          <w:cols w:equalWidth="0" w:num="1">
            <w:col w:w="10900"/>
          </w:cols>
          <w:pgMar w:left="400" w:top="1440" w:right="599" w:bottom="1440" w:gutter="0" w:footer="0" w:header="0"/>
          <w:type w:val="continuous"/>
        </w:sectPr>
      </w:pPr>
    </w:p>
    <w:bookmarkStart w:id="148" w:name="page149"/>
    <w:bookmarkEnd w:id="148"/>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LA-1802891R3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LA-1802895R7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LA-1802897R4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LA-1907123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LA-2000325R1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LA-2000327</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LA-2000341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LA-2000366R1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LA-2001835R1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LA-22004030R1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LA-22006156R1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LA-22006204R1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LETTER AGREEMENTS </w:t>
      </w:r>
      <w:r>
        <w:rPr>
          <w:rFonts w:ascii="Times New Roman" w:cs="Times New Roman" w:eastAsia="Times New Roman" w:hAnsi="Times New Roman"/>
          <w:sz w:val="21"/>
          <w:szCs w:val="21"/>
          <w:color w:val="auto"/>
        </w:rPr>
        <w:t>LA-22006226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LA-22006285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LA-22006311R1</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787 Special Terms – Seats</w:t>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AGTA Matters</w:t>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Assignment Matters</w:t>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 Matters</w:t>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Model 787 e- Enabling</w:t>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 Aircraft</w:t>
      </w:r>
    </w:p>
    <w:p>
      <w:pPr>
        <w:spacing w:after="0" w:line="136" w:lineRule="exact"/>
        <w:rPr>
          <w:sz w:val="20"/>
          <w:szCs w:val="20"/>
          <w:color w:val="auto"/>
        </w:rPr>
      </w:pPr>
    </w:p>
    <w:p>
      <w:pPr>
        <w:ind w:left="1000" w:right="1080"/>
        <w:spacing w:after="0" w:line="394" w:lineRule="auto"/>
        <w:rPr>
          <w:sz w:val="20"/>
          <w:szCs w:val="20"/>
          <w:color w:val="auto"/>
        </w:rPr>
      </w:pPr>
      <w:r>
        <w:rPr>
          <w:rFonts w:ascii="Times New Roman" w:cs="Times New Roman" w:eastAsia="Times New Roman" w:hAnsi="Times New Roman"/>
          <w:sz w:val="22"/>
          <w:szCs w:val="22"/>
          <w:b w:val="1"/>
          <w:bCs w:val="1"/>
          <w:color w:val="auto"/>
        </w:rPr>
        <w:t xml:space="preserve">Attachment A-1: 787-*** with *** </w:t>
      </w:r>
      <w:r>
        <w:rPr>
          <w:rFonts w:ascii="Times New Roman" w:cs="Times New Roman" w:eastAsia="Times New Roman" w:hAnsi="Times New Roman"/>
          <w:sz w:val="22"/>
          <w:szCs w:val="22"/>
          <w:color w:val="auto"/>
          <w:strike w:val="1"/>
        </w:rPr>
        <w:t>Attachment A-2: –Additional *** Aircraft *** Other Special Matters</w:t>
      </w:r>
    </w:p>
    <w:p>
      <w:pPr>
        <w:ind w:left="1380" w:hanging="384"/>
        <w:spacing w:after="0"/>
        <w:tabs>
          <w:tab w:leader="none" w:pos="13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for Certain 787 Aircraft</w:t>
      </w:r>
    </w:p>
    <w:p>
      <w:pPr>
        <w:spacing w:after="0" w:line="152" w:lineRule="exact"/>
        <w:rPr>
          <w:rFonts w:ascii="Times New Roman" w:cs="Times New Roman" w:eastAsia="Times New Roman" w:hAnsi="Times New Roman"/>
          <w:sz w:val="22"/>
          <w:szCs w:val="22"/>
          <w:color w:val="auto"/>
        </w:rPr>
      </w:pPr>
    </w:p>
    <w:p>
      <w:pPr>
        <w:ind w:left="1380" w:hanging="384"/>
        <w:spacing w:after="0"/>
        <w:tabs>
          <w:tab w:leader="none" w:pos="13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787-*** Aircraft</w:t>
      </w:r>
    </w:p>
    <w:p>
      <w:pPr>
        <w:spacing w:after="0" w:line="206" w:lineRule="exact"/>
        <w:rPr>
          <w:rFonts w:ascii="Times New Roman" w:cs="Times New Roman" w:eastAsia="Times New Roman" w:hAnsi="Times New Roman"/>
          <w:sz w:val="22"/>
          <w:szCs w:val="22"/>
          <w:color w:val="auto"/>
        </w:rPr>
      </w:pPr>
    </w:p>
    <w:p>
      <w:pPr>
        <w:ind w:left="1380" w:hanging="384"/>
        <w:spacing w:after="0"/>
        <w:tabs>
          <w:tab w:leader="none" w:pos="13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CS1 Special Matters</w:t>
      </w:r>
    </w:p>
    <w:p>
      <w:pPr>
        <w:spacing w:after="0" w:line="314" w:lineRule="exact"/>
        <w:rPr>
          <w:sz w:val="20"/>
          <w:szCs w:val="20"/>
          <w:color w:val="auto"/>
        </w:rPr>
      </w:pPr>
    </w:p>
    <w:p>
      <w:pPr>
        <w:ind w:left="1000" w:right="2980" w:hanging="4"/>
        <w:spacing w:after="0" w:line="563" w:lineRule="auto"/>
        <w:tabs>
          <w:tab w:leader="none" w:pos="137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787-*** Aircraft Certain Special Matters</w:t>
      </w:r>
    </w:p>
    <w:p>
      <w:pPr>
        <w:spacing w:after="0" w:line="1" w:lineRule="exact"/>
        <w:rPr>
          <w:rFonts w:ascii="Times New Roman" w:cs="Times New Roman" w:eastAsia="Times New Roman" w:hAnsi="Times New Roman"/>
          <w:sz w:val="21"/>
          <w:szCs w:val="21"/>
          <w:color w:val="auto"/>
        </w:rPr>
      </w:pPr>
    </w:p>
    <w:p>
      <w:pPr>
        <w:ind w:left="1380" w:hanging="384"/>
        <w:spacing w:after="0"/>
        <w:tabs>
          <w:tab w:leader="none" w:pos="13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for *** 787-*** Aircraft</w:t>
      </w:r>
    </w:p>
    <w:p>
      <w:pPr>
        <w:spacing w:after="0" w:line="314" w:lineRule="exact"/>
        <w:rPr>
          <w:rFonts w:ascii="Times New Roman" w:cs="Times New Roman" w:eastAsia="Times New Roman" w:hAnsi="Times New Roman"/>
          <w:sz w:val="22"/>
          <w:szCs w:val="22"/>
          <w:color w:val="auto"/>
        </w:rPr>
      </w:pPr>
    </w:p>
    <w:p>
      <w:pPr>
        <w:ind w:left="1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787 ***</w:t>
      </w:r>
    </w:p>
    <w:p>
      <w:pPr>
        <w:spacing w:after="0" w:line="3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787 Delivery *** Matters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Training Support</w:t>
      </w:r>
    </w:p>
    <w:p>
      <w:pPr>
        <w:spacing w:after="0" w:line="3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w:t>
      </w:r>
    </w:p>
    <w:p>
      <w:pPr>
        <w:spacing w:after="0" w:line="3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787 Open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0"/>
        <w:spacing w:after="0"/>
        <w:tabs>
          <w:tab w:leader="none" w:pos="1820" w:val="left"/>
          <w:tab w:leader="none" w:pos="4700" w:val="left"/>
        </w:tabs>
        <w:rPr>
          <w:sz w:val="20"/>
          <w:szCs w:val="20"/>
          <w:color w:val="auto"/>
        </w:rPr>
      </w:pPr>
      <w:r>
        <w:rPr>
          <w:rFonts w:ascii="Times New Roman" w:cs="Times New Roman" w:eastAsia="Times New Roman" w:hAnsi="Times New Roman"/>
          <w:sz w:val="22"/>
          <w:szCs w:val="22"/>
          <w:color w:val="auto"/>
        </w:rPr>
        <w:t>UAL-PA-04815</w:t>
        <w:tab/>
        <w:t>Table of Contents, Page 3 of 4</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BOEING / UNITED AIRLINES, INC. PROPRIETARY</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strike w:val="1"/>
        </w:rPr>
        <w:t>SA-14</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SA-5</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SA-6</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SA-6</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3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SA-8</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SA-11</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SA-13</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SA </w:t>
      </w:r>
      <w:r>
        <w:rPr>
          <w:rFonts w:ascii="Times New Roman" w:cs="Times New Roman" w:eastAsia="Times New Roman" w:hAnsi="Times New Roman"/>
          <w:sz w:val="21"/>
          <w:szCs w:val="21"/>
          <w:b w:val="1"/>
          <w:bCs w:val="1"/>
          <w:u w:val="single" w:color="auto"/>
          <w:color w:val="auto"/>
        </w:rPr>
        <w:t>NUMBER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SA-12</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3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SA-15</w:t>
      </w:r>
    </w:p>
    <w:p>
      <w:pPr>
        <w:sectPr>
          <w:pgSz w:w="11900" w:h="16838" w:orient="portrait"/>
          <w:cols w:equalWidth="0" w:num="3">
            <w:col w:w="2460" w:space="320"/>
            <w:col w:w="6120" w:space="720"/>
            <w:col w:w="1280"/>
          </w:cols>
          <w:pgMar w:left="400" w:top="1440" w:right="599" w:bottom="1440" w:gutter="0" w:footer="0" w:header="0"/>
        </w:sectPr>
      </w:pPr>
    </w:p>
    <w:bookmarkStart w:id="149" w:name="page150"/>
    <w:bookmarkEnd w:id="149"/>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LA-23005341R1</w:t>
            </w:r>
          </w:p>
        </w:tc>
        <w:tc>
          <w:tcPr>
            <w:tcW w:w="614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b w:val="1"/>
                <w:bCs w:val="1"/>
                <w:color w:val="auto"/>
              </w:rPr>
              <w:t>Special Matters – SA-13 *** 787 Aircraft</w:t>
            </w:r>
          </w:p>
        </w:tc>
        <w:tc>
          <w:tcPr>
            <w:tcW w:w="1760" w:type="dxa"/>
            <w:vAlign w:val="bottom"/>
          </w:tcPr>
          <w:p>
            <w:pPr>
              <w:ind w:left="1200"/>
              <w:spacing w:after="0"/>
              <w:rPr>
                <w:sz w:val="20"/>
                <w:szCs w:val="20"/>
                <w:color w:val="auto"/>
              </w:rPr>
            </w:pPr>
            <w:r>
              <w:rPr>
                <w:rFonts w:ascii="Times New Roman" w:cs="Times New Roman" w:eastAsia="Times New Roman" w:hAnsi="Times New Roman"/>
                <w:sz w:val="22"/>
                <w:szCs w:val="22"/>
                <w:b w:val="1"/>
                <w:bCs w:val="1"/>
                <w:color w:val="auto"/>
                <w:w w:val="93"/>
              </w:rPr>
              <w:t>SA-15</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140" w:type="dxa"/>
            <w:vAlign w:val="bottom"/>
            <w:vMerge w:val="continue"/>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LA-2505473</w:t>
            </w:r>
          </w:p>
        </w:tc>
        <w:tc>
          <w:tcPr>
            <w:tcW w:w="614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b w:val="1"/>
                <w:bCs w:val="1"/>
                <w:color w:val="auto"/>
              </w:rPr>
              <w:t>787 ***</w:t>
            </w:r>
          </w:p>
        </w:tc>
        <w:tc>
          <w:tcPr>
            <w:tcW w:w="1760" w:type="dxa"/>
            <w:vAlign w:val="bottom"/>
          </w:tcPr>
          <w:p>
            <w:pPr>
              <w:ind w:left="1200"/>
              <w:spacing w:after="0"/>
              <w:rPr>
                <w:sz w:val="20"/>
                <w:szCs w:val="20"/>
                <w:color w:val="auto"/>
              </w:rPr>
            </w:pPr>
            <w:r>
              <w:rPr>
                <w:rFonts w:ascii="Times New Roman" w:cs="Times New Roman" w:eastAsia="Times New Roman" w:hAnsi="Times New Roman"/>
                <w:sz w:val="22"/>
                <w:szCs w:val="22"/>
                <w:b w:val="1"/>
                <w:bCs w:val="1"/>
                <w:color w:val="auto"/>
                <w:w w:val="93"/>
              </w:rPr>
              <w:t>SA-15</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614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20"/>
        <w:spacing w:after="0"/>
        <w:tabs>
          <w:tab w:leader="none" w:pos="4600" w:val="left"/>
          <w:tab w:leader="none" w:pos="7480" w:val="left"/>
        </w:tabs>
        <w:rPr>
          <w:sz w:val="20"/>
          <w:szCs w:val="20"/>
          <w:color w:val="auto"/>
        </w:rPr>
      </w:pPr>
      <w:r>
        <w:rPr>
          <w:rFonts w:ascii="Times New Roman" w:cs="Times New Roman" w:eastAsia="Times New Roman" w:hAnsi="Times New Roman"/>
          <w:sz w:val="22"/>
          <w:szCs w:val="22"/>
          <w:color w:val="auto"/>
        </w:rPr>
        <w:t>UAL-PA-04815</w:t>
        <w:tab/>
        <w:t>Table of Contents, Page 4 of 4</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0540"/>
          </w:cols>
          <w:pgMar w:left="400" w:top="1440" w:right="959" w:bottom="1440" w:gutter="0" w:footer="0" w:header="0"/>
        </w:sectPr>
      </w:pPr>
    </w:p>
    <w:bookmarkStart w:id="150" w:name="page151"/>
    <w:bookmarkEnd w:id="150"/>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6"/>
              </w:rPr>
              <w:t>SUPPLEMENTAL AGREEMENTS</w:t>
            </w:r>
          </w:p>
        </w:tc>
        <w:tc>
          <w:tcPr>
            <w:tcW w:w="3580" w:type="dxa"/>
            <w:vAlign w:val="bottom"/>
          </w:tcPr>
          <w:p>
            <w:pPr>
              <w:spacing w:after="0"/>
              <w:rPr>
                <w:sz w:val="22"/>
                <w:szCs w:val="22"/>
                <w:color w:val="auto"/>
              </w:rPr>
            </w:pPr>
          </w:p>
        </w:tc>
        <w:tc>
          <w:tcPr>
            <w:tcW w:w="21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DATED AS OF</w:t>
            </w:r>
          </w:p>
        </w:tc>
      </w:tr>
      <w:tr>
        <w:trPr>
          <w:trHeight w:val="20"/>
        </w:trPr>
        <w:tc>
          <w:tcPr>
            <w:tcW w:w="33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3"/>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7"/>
              </w:rPr>
              <w:t>. . . September 25, 2018</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 . .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 November 1, 2018</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2 .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9"/>
              </w:rPr>
              <w:t>. . . December 12, 2018</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3 .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 April 26, 2019</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4 .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 October 31, 2019</w:t>
            </w:r>
          </w:p>
        </w:tc>
      </w:tr>
      <w:tr>
        <w:trPr>
          <w:trHeight w:val="351"/>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w w:val="97"/>
              </w:rPr>
              <w:t>Supplemental Agreement No. 5. . . . . .</w:t>
            </w:r>
          </w:p>
        </w:tc>
        <w:tc>
          <w:tcPr>
            <w:tcW w:w="3580" w:type="dxa"/>
            <w:vAlign w:val="bottom"/>
          </w:tcPr>
          <w:p>
            <w:pPr>
              <w:jc w:val="right"/>
              <w:ind w:right="2837"/>
              <w:spacing w:after="0"/>
              <w:rPr>
                <w:sz w:val="20"/>
                <w:szCs w:val="20"/>
                <w:color w:val="auto"/>
              </w:rPr>
            </w:pPr>
            <w:r>
              <w:rPr>
                <w:rFonts w:ascii="Times New Roman" w:cs="Times New Roman" w:eastAsia="Times New Roman" w:hAnsi="Times New Roman"/>
                <w:sz w:val="22"/>
                <w:szCs w:val="22"/>
                <w:color w:val="auto"/>
              </w:rPr>
              <w:t>.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 February 7, 2020</w:t>
            </w:r>
          </w:p>
        </w:tc>
      </w:tr>
      <w:tr>
        <w:trPr>
          <w:trHeight w:val="351"/>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w w:val="97"/>
              </w:rPr>
              <w:t>Supplemental Agreement No. 6. . . . . .</w:t>
            </w:r>
          </w:p>
        </w:tc>
        <w:tc>
          <w:tcPr>
            <w:tcW w:w="3580" w:type="dxa"/>
            <w:vAlign w:val="bottom"/>
          </w:tcPr>
          <w:p>
            <w:pPr>
              <w:jc w:val="right"/>
              <w:ind w:right="2837"/>
              <w:spacing w:after="0"/>
              <w:rPr>
                <w:sz w:val="20"/>
                <w:szCs w:val="20"/>
                <w:color w:val="auto"/>
              </w:rPr>
            </w:pPr>
            <w:r>
              <w:rPr>
                <w:rFonts w:ascii="Times New Roman" w:cs="Times New Roman" w:eastAsia="Times New Roman" w:hAnsi="Times New Roman"/>
                <w:sz w:val="22"/>
                <w:szCs w:val="22"/>
                <w:color w:val="auto"/>
              </w:rPr>
              <w:t>.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 March 20, 2020</w:t>
            </w:r>
          </w:p>
        </w:tc>
      </w:tr>
      <w:tr>
        <w:trPr>
          <w:trHeight w:val="351"/>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w w:val="97"/>
              </w:rPr>
              <w:t>Supplemental Agreement No. 7. . . . . .</w:t>
            </w:r>
          </w:p>
        </w:tc>
        <w:tc>
          <w:tcPr>
            <w:tcW w:w="3580" w:type="dxa"/>
            <w:vAlign w:val="bottom"/>
          </w:tcPr>
          <w:p>
            <w:pPr>
              <w:jc w:val="right"/>
              <w:ind w:right="2837"/>
              <w:spacing w:after="0"/>
              <w:rPr>
                <w:sz w:val="20"/>
                <w:szCs w:val="20"/>
                <w:color w:val="auto"/>
              </w:rPr>
            </w:pPr>
            <w:r>
              <w:rPr>
                <w:rFonts w:ascii="Times New Roman" w:cs="Times New Roman" w:eastAsia="Times New Roman" w:hAnsi="Times New Roman"/>
                <w:sz w:val="22"/>
                <w:szCs w:val="22"/>
                <w:color w:val="auto"/>
              </w:rPr>
              <w:t>.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 June 30, 2020</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8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 February 26, 2021</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9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August 25, 2022</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10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September 27, 2022</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11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December 12, 2022</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12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September 28, 2023</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13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 . . . . . . . . . . .</w:t>
            </w: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 October 24, 2024</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14 . . . . . . . . . .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36"/>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8"/>
              </w:rPr>
              <w:t>Supplemental Agreement No. 15 . . .</w:t>
            </w:r>
          </w:p>
        </w:tc>
        <w:tc>
          <w:tcPr>
            <w:tcW w:w="568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w w:val="98"/>
              </w:rPr>
              <w:t>. . . . . . . .. . . . . . . . . . . December 30, 2025</w:t>
            </w:r>
          </w:p>
        </w:tc>
      </w:tr>
      <w:tr>
        <w:trPr>
          <w:trHeight w:val="20"/>
        </w:trPr>
        <w:tc>
          <w:tcPr>
            <w:tcW w:w="3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20"/>
        <w:spacing w:after="0"/>
        <w:tabs>
          <w:tab w:leader="none" w:pos="4600" w:val="left"/>
          <w:tab w:leader="none" w:pos="7480" w:val="left"/>
        </w:tabs>
        <w:rPr>
          <w:sz w:val="20"/>
          <w:szCs w:val="20"/>
          <w:color w:val="auto"/>
        </w:rPr>
      </w:pPr>
      <w:r>
        <w:rPr>
          <w:rFonts w:ascii="Times New Roman" w:cs="Times New Roman" w:eastAsia="Times New Roman" w:hAnsi="Times New Roman"/>
          <w:sz w:val="22"/>
          <w:szCs w:val="22"/>
          <w:color w:val="auto"/>
        </w:rPr>
        <w:t>UAL-PA-04815</w:t>
        <w:tab/>
        <w:t>Table of Contents, Page 5 of 4</w:t>
      </w:r>
      <w:r>
        <w:rPr>
          <w:sz w:val="20"/>
          <w:szCs w:val="20"/>
          <w:color w:val="auto"/>
        </w:rPr>
        <w:tab/>
      </w:r>
      <w:r>
        <w:rPr>
          <w:rFonts w:ascii="Times New Roman" w:cs="Times New Roman" w:eastAsia="Times New Roman" w:hAnsi="Times New Roman"/>
          <w:sz w:val="21"/>
          <w:szCs w:val="21"/>
          <w:color w:val="auto"/>
        </w:rPr>
        <w:t>SA-15</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0059"/>
          </w:cols>
          <w:pgMar w:left="400" w:top="1440" w:right="1440"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1 to Purchase Agreement No. 04815</w:t>
      </w:r>
    </w:p>
    <w:p>
      <w:pPr>
        <w:jc w:val="center"/>
        <w:ind w:right="-19"/>
        <w:spacing w:after="0" w:line="211" w:lineRule="auto"/>
        <w:rPr>
          <w:sz w:val="20"/>
          <w:szCs w:val="20"/>
          <w:color w:val="auto"/>
        </w:rPr>
      </w:pPr>
      <w:r>
        <w:rPr>
          <w:rFonts w:ascii="Times New Roman" w:cs="Times New Roman" w:eastAsia="Times New Roman" w:hAnsi="Times New Roman"/>
          <w:sz w:val="16"/>
          <w:szCs w:val="16"/>
          <w:b w:val="1"/>
          <w:bCs w:val="1"/>
          <w:color w:val="auto"/>
        </w:rPr>
        <w:t>*** 787-*** Aircraft (Prior to *** Configuration) Delivery, Description, Price and ***</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(787-***)</w:t>
      </w:r>
    </w:p>
    <w:p>
      <w:pPr>
        <w:spacing w:after="0" w:line="33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Airframe Model/MTOW:</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787-***</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pounds</w:t>
            </w: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 Specification:</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w w:val="96"/>
              </w:rPr>
              <w:t>***</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Engine</w:t>
            </w:r>
          </w:p>
        </w:tc>
        <w:tc>
          <w:tcPr>
            <w:tcW w:w="700" w:type="dxa"/>
            <w:vAlign w:val="bottom"/>
          </w:tcPr>
          <w:p>
            <w:pPr>
              <w:spacing w:after="0"/>
              <w:rPr>
                <w:sz w:val="15"/>
                <w:szCs w:val="15"/>
                <w:color w:val="auto"/>
              </w:rPr>
            </w:pPr>
          </w:p>
        </w:tc>
        <w:tc>
          <w:tcPr>
            <w:tcW w:w="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5"/>
                <w:szCs w:val="15"/>
                <w:color w:val="auto"/>
              </w:rPr>
            </w:pPr>
          </w:p>
        </w:tc>
        <w:tc>
          <w:tcPr>
            <w:tcW w:w="10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pounds</w:t>
            </w:r>
          </w:p>
        </w:tc>
        <w:tc>
          <w:tcPr>
            <w:tcW w:w="8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2</w:t>
            </w:r>
          </w:p>
        </w:tc>
        <w:tc>
          <w:tcPr>
            <w:tcW w:w="1100" w:type="dxa"/>
            <w:vAlign w:val="bottom"/>
          </w:tcPr>
          <w:p>
            <w:pPr>
              <w:spacing w:after="0"/>
              <w:rPr>
                <w:sz w:val="15"/>
                <w:szCs w:val="15"/>
                <w:color w:val="auto"/>
              </w:rPr>
            </w:pPr>
          </w:p>
        </w:tc>
        <w:tc>
          <w:tcPr>
            <w:tcW w:w="38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Airframe Price Base Year/*** Formula:  ***</w:t>
            </w:r>
          </w:p>
        </w:tc>
        <w:tc>
          <w:tcPr>
            <w:tcW w:w="20" w:type="dxa"/>
            <w:vAlign w:val="bottom"/>
          </w:tcPr>
          <w:p>
            <w:pPr>
              <w:spacing w:after="0"/>
              <w:rPr>
                <w:sz w:val="15"/>
                <w:szCs w:val="15"/>
                <w:color w:val="auto"/>
              </w:rPr>
            </w:pPr>
          </w:p>
        </w:tc>
        <w:tc>
          <w:tcPr>
            <w:tcW w:w="1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ECI-MFG/CPI</w:t>
            </w:r>
          </w:p>
        </w:tc>
        <w:tc>
          <w:tcPr>
            <w:tcW w:w="0" w:type="dxa"/>
            <w:vAlign w:val="bottom"/>
          </w:tcPr>
          <w:p>
            <w:pPr>
              <w:spacing w:after="0"/>
              <w:rPr>
                <w:sz w:val="1"/>
                <w:szCs w:val="1"/>
                <w:color w:val="auto"/>
              </w:rPr>
            </w:pPr>
          </w:p>
        </w:tc>
      </w:tr>
      <w:tr>
        <w:trPr>
          <w:trHeight w:val="234"/>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Model/Thrust:</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4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Airframe Price:</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8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Engine Price Base Year/***</w:t>
            </w:r>
          </w:p>
        </w:tc>
        <w:tc>
          <w:tcPr>
            <w:tcW w:w="900" w:type="dxa"/>
            <w:vAlign w:val="bottom"/>
            <w:gridSpan w:val="2"/>
          </w:tcPr>
          <w:p>
            <w:pPr>
              <w:jc w:val="right"/>
              <w:ind w:right="524"/>
              <w:spacing w:after="0" w:line="184" w:lineRule="exact"/>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6"/>
                <w:szCs w:val="16"/>
                <w:color w:val="auto"/>
              </w:rPr>
            </w:pPr>
          </w:p>
        </w:tc>
        <w:tc>
          <w:tcPr>
            <w:tcW w:w="1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787 ECI-MFG CPI</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Formula:</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Eng</w:t>
            </w:r>
          </w:p>
        </w:tc>
        <w:tc>
          <w:tcPr>
            <w:tcW w:w="0" w:type="dxa"/>
            <w:vAlign w:val="bottom"/>
          </w:tcPr>
          <w:p>
            <w:pPr>
              <w:spacing w:after="0"/>
              <w:rPr>
                <w:sz w:val="1"/>
                <w:szCs w:val="1"/>
                <w:color w:val="auto"/>
              </w:rPr>
            </w:pPr>
          </w:p>
        </w:tc>
      </w:tr>
      <w:tr>
        <w:trPr>
          <w:trHeight w:val="23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Features:</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90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Sub-Total of Airframe and Features:</w:t>
            </w:r>
          </w:p>
        </w:tc>
        <w:tc>
          <w:tcPr>
            <w:tcW w:w="10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Airframe ***</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Engine Price (Per Aircraft):</w:t>
            </w: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Year Index (ECI):</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90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Aircraft Basic Price (Excluding</w:t>
            </w:r>
          </w:p>
        </w:tc>
        <w:tc>
          <w:tcPr>
            <w:tcW w:w="10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Base Year Index (CPI):</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gridSpan w:val="2"/>
          </w:tcPr>
          <w:p>
            <w:pPr>
              <w:jc w:val="right"/>
              <w:ind w:right="524"/>
              <w:spacing w:after="0" w:line="181" w:lineRule="exact"/>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BFE/SPE):</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90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Buyer Furnished Equipment (BFE)</w:t>
            </w:r>
          </w:p>
        </w:tc>
        <w:tc>
          <w:tcPr>
            <w:tcW w:w="10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w w:val="99"/>
              </w:rPr>
              <w:t>Engine *** Data:</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Seller Purchased Equipment (SPE)</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Year Index (ECI):</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Deposit per</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4</w:t>
            </w:r>
          </w:p>
        </w:tc>
        <w:tc>
          <w:tcPr>
            <w:tcW w:w="1100" w:type="dxa"/>
            <w:vAlign w:val="bottom"/>
          </w:tcPr>
          <w:p>
            <w:pPr>
              <w:spacing w:after="0"/>
              <w:rPr>
                <w:sz w:val="15"/>
                <w:szCs w:val="15"/>
                <w:color w:val="auto"/>
              </w:rPr>
            </w:pPr>
          </w:p>
        </w:tc>
        <w:tc>
          <w:tcPr>
            <w:tcW w:w="17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Base Year Index (CPI):</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gridSpan w:val="2"/>
          </w:tcPr>
          <w:p>
            <w:pPr>
              <w:jc w:val="right"/>
              <w:ind w:right="524"/>
              <w:spacing w:after="0" w:line="181" w:lineRule="exact"/>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00" w:type="dxa"/>
            <w:vAlign w:val="bottom"/>
            <w:tcBorders>
              <w:left w:val="single" w:sz="8" w:color="auto"/>
              <w:right w:val="single" w:sz="8" w:color="auto"/>
            </w:tcBorders>
          </w:tcPr>
          <w:p>
            <w:pPr>
              <w:ind w:left="20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70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w w:val="99"/>
              </w:rPr>
              <w:t>Contract</w:t>
            </w:r>
          </w:p>
        </w:tc>
        <w:tc>
          <w:tcPr>
            <w:tcW w:w="7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Number</w:t>
            </w:r>
          </w:p>
        </w:tc>
        <w:tc>
          <w:tcPr>
            <w:tcW w:w="8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7"/>
                <w:szCs w:val="17"/>
                <w:color w:val="auto"/>
              </w:rPr>
              <w:t>*** Factor</w:t>
            </w:r>
          </w:p>
        </w:tc>
        <w:tc>
          <w:tcPr>
            <w:tcW w:w="10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 Factor</w:t>
            </w:r>
          </w:p>
        </w:tc>
        <w:tc>
          <w:tcPr>
            <w:tcW w:w="840" w:type="dxa"/>
            <w:vAlign w:val="bottom"/>
            <w:tcBorders>
              <w:right w:val="single" w:sz="8" w:color="auto"/>
            </w:tcBorders>
          </w:tcPr>
          <w:p>
            <w:pPr>
              <w:ind w:left="2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Manufacturer</w:t>
            </w:r>
          </w:p>
        </w:tc>
        <w:tc>
          <w:tcPr>
            <w:tcW w:w="13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 Estimate ***</w:t>
            </w:r>
          </w:p>
        </w:tc>
        <w:tc>
          <w:tcPr>
            <w:tcW w:w="480" w:type="dxa"/>
            <w:vAlign w:val="bottom"/>
          </w:tcPr>
          <w:p>
            <w:pPr>
              <w:spacing w:after="0"/>
              <w:rPr>
                <w:sz w:val="14"/>
                <w:szCs w:val="14"/>
                <w:color w:val="auto"/>
              </w:rPr>
            </w:pPr>
          </w:p>
        </w:tc>
        <w:tc>
          <w:tcPr>
            <w:tcW w:w="3580" w:type="dxa"/>
            <w:vAlign w:val="bottom"/>
            <w:tcBorders>
              <w:right w:val="single" w:sz="8" w:color="auto"/>
            </w:tcBorders>
            <w:gridSpan w:val="7"/>
          </w:tcPr>
          <w:p>
            <w:pPr>
              <w:ind w:left="120"/>
              <w:spacing w:after="0" w:line="169" w:lineRule="exact"/>
              <w:rPr>
                <w:sz w:val="20"/>
                <w:szCs w:val="20"/>
                <w:color w:val="auto"/>
              </w:rPr>
            </w:pPr>
            <w:r>
              <w:rPr>
                <w:rFonts w:ascii="Times New Roman" w:cs="Times New Roman" w:eastAsia="Times New Roman" w:hAnsi="Times New Roman"/>
                <w:sz w:val="18"/>
                <w:szCs w:val="18"/>
                <w:color w:val="auto"/>
              </w:rPr>
              <w:t>*** (Amts. Due/*** Prior to Delivery):</w:t>
            </w:r>
          </w:p>
        </w:tc>
        <w:tc>
          <w:tcPr>
            <w:tcW w:w="0" w:type="dxa"/>
            <w:vAlign w:val="bottom"/>
          </w:tcPr>
          <w:p>
            <w:pPr>
              <w:spacing w:after="0"/>
              <w:rPr>
                <w:sz w:val="1"/>
                <w:szCs w:val="1"/>
                <w:color w:val="auto"/>
              </w:rPr>
            </w:pPr>
          </w:p>
        </w:tc>
      </w:tr>
      <w:tr>
        <w:trPr>
          <w:trHeight w:val="68"/>
        </w:trPr>
        <w:tc>
          <w:tcPr>
            <w:tcW w:w="700" w:type="dxa"/>
            <w:vAlign w:val="bottom"/>
            <w:tcBorders>
              <w:left w:val="single" w:sz="8" w:color="auto"/>
              <w:right w:val="single" w:sz="8" w:color="auto"/>
            </w:tcBorders>
            <w:vMerge w:val="restart"/>
          </w:tcPr>
          <w:p>
            <w:pPr>
              <w:ind w:left="60"/>
              <w:spacing w:after="0" w:line="176" w:lineRule="exact"/>
              <w:rPr>
                <w:sz w:val="20"/>
                <w:szCs w:val="20"/>
                <w:color w:val="auto"/>
              </w:rPr>
            </w:pPr>
            <w:r>
              <w:rPr>
                <w:rFonts w:ascii="Times New Roman" w:cs="Times New Roman" w:eastAsia="Times New Roman" w:hAnsi="Times New Roman"/>
                <w:sz w:val="18"/>
                <w:szCs w:val="18"/>
                <w:color w:val="auto"/>
              </w:rPr>
              <w:t>Aircraft</w:t>
            </w:r>
          </w:p>
        </w:tc>
        <w:tc>
          <w:tcPr>
            <w:tcW w:w="700" w:type="dxa"/>
            <w:vAlign w:val="bottom"/>
            <w:tcBorders>
              <w:right w:val="single" w:sz="8" w:color="auto"/>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Delivery</w:t>
            </w:r>
          </w:p>
        </w:tc>
        <w:tc>
          <w:tcPr>
            <w:tcW w:w="70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auto"/>
              </w:rPr>
              <w:t>of</w:t>
            </w:r>
          </w:p>
        </w:tc>
        <w:tc>
          <w:tcPr>
            <w:tcW w:w="800" w:type="dxa"/>
            <w:vAlign w:val="bottom"/>
            <w:tcBorders>
              <w:right w:val="single" w:sz="8" w:color="auto"/>
            </w:tcBorders>
            <w:vMerge w:val="restart"/>
          </w:tcPr>
          <w:p>
            <w:pPr>
              <w:ind w:left="20"/>
              <w:spacing w:after="0" w:line="176" w:lineRule="exact"/>
              <w:rPr>
                <w:sz w:val="20"/>
                <w:szCs w:val="20"/>
                <w:color w:val="auto"/>
              </w:rPr>
            </w:pPr>
            <w:r>
              <w:rPr>
                <w:rFonts w:ascii="Times New Roman" w:cs="Times New Roman" w:eastAsia="Times New Roman" w:hAnsi="Times New Roman"/>
                <w:sz w:val="17"/>
                <w:szCs w:val="17"/>
                <w:color w:val="auto"/>
              </w:rPr>
              <w:t>(Airframe)</w:t>
            </w:r>
          </w:p>
        </w:tc>
        <w:tc>
          <w:tcPr>
            <w:tcW w:w="1040" w:type="dxa"/>
            <w:vAlign w:val="bottom"/>
            <w:tcBorders>
              <w:right w:val="single" w:sz="8" w:color="auto"/>
            </w:tcBorders>
            <w:vMerge w:val="restart"/>
          </w:tcPr>
          <w:p>
            <w:pPr>
              <w:ind w:left="200"/>
              <w:spacing w:after="0" w:line="176" w:lineRule="exact"/>
              <w:rPr>
                <w:sz w:val="20"/>
                <w:szCs w:val="20"/>
                <w:color w:val="auto"/>
              </w:rPr>
            </w:pPr>
            <w:r>
              <w:rPr>
                <w:rFonts w:ascii="Times New Roman" w:cs="Times New Roman" w:eastAsia="Times New Roman" w:hAnsi="Times New Roman"/>
                <w:sz w:val="18"/>
                <w:szCs w:val="18"/>
                <w:color w:val="auto"/>
              </w:rPr>
              <w:t>(Engine)</w:t>
            </w:r>
          </w:p>
        </w:tc>
        <w:tc>
          <w:tcPr>
            <w:tcW w:w="840" w:type="dxa"/>
            <w:vAlign w:val="bottom"/>
            <w:tcBorders>
              <w:right w:val="single" w:sz="8" w:color="auto"/>
            </w:tcBorders>
            <w:vMerge w:val="restart"/>
          </w:tcPr>
          <w:p>
            <w:pPr>
              <w:ind w:left="100"/>
              <w:spacing w:after="0" w:line="176" w:lineRule="exact"/>
              <w:rPr>
                <w:sz w:val="20"/>
                <w:szCs w:val="20"/>
                <w:color w:val="auto"/>
              </w:rPr>
            </w:pPr>
            <w:r>
              <w:rPr>
                <w:rFonts w:ascii="Times New Roman" w:cs="Times New Roman" w:eastAsia="Times New Roman" w:hAnsi="Times New Roman"/>
                <w:sz w:val="18"/>
                <w:szCs w:val="18"/>
                <w:color w:val="auto"/>
              </w:rPr>
              <w:t>Forecast</w:t>
            </w:r>
          </w:p>
        </w:tc>
        <w:tc>
          <w:tcPr>
            <w:tcW w:w="11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Serial</w:t>
            </w:r>
          </w:p>
        </w:tc>
        <w:tc>
          <w:tcPr>
            <w:tcW w:w="13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Base Price Per</w:t>
            </w:r>
          </w:p>
        </w:tc>
        <w:tc>
          <w:tcPr>
            <w:tcW w:w="48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5"/>
                <w:szCs w:val="5"/>
                <w:color w:val="auto"/>
              </w:rPr>
            </w:pPr>
          </w:p>
        </w:tc>
        <w:tc>
          <w:tcPr>
            <w:tcW w:w="8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5"/>
                <w:szCs w:val="5"/>
                <w:color w:val="auto"/>
              </w:rPr>
            </w:pPr>
          </w:p>
        </w:tc>
        <w:tc>
          <w:tcPr>
            <w:tcW w:w="1460" w:type="dxa"/>
            <w:vAlign w:val="bottom"/>
            <w:tcBorders>
              <w:right w:val="single" w:sz="8" w:color="auto"/>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8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tcPr>
          <w:p>
            <w:pPr>
              <w:spacing w:after="0"/>
              <w:rPr>
                <w:sz w:val="21"/>
                <w:szCs w:val="21"/>
                <w:color w:val="auto"/>
              </w:rPr>
            </w:pPr>
          </w:p>
        </w:tc>
        <w:tc>
          <w:tcPr>
            <w:tcW w:w="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Aircraft</w:t>
            </w:r>
          </w:p>
        </w:tc>
        <w:tc>
          <w:tcPr>
            <w:tcW w:w="80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1"/>
                <w:szCs w:val="21"/>
                <w:color w:val="auto"/>
              </w:rPr>
            </w:pPr>
          </w:p>
        </w:tc>
        <w:tc>
          <w:tcPr>
            <w:tcW w:w="14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7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4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Borders>
              <w:bottom w:val="single" w:sz="8" w:color="auto"/>
            </w:tcBorders>
            <w:shd w:val="clear" w:color="auto" w:fill="000000"/>
          </w:tcPr>
          <w:p>
            <w:pPr>
              <w:spacing w:after="0"/>
              <w:rPr>
                <w:sz w:val="2"/>
                <w:szCs w:val="2"/>
                <w:color w:val="auto"/>
              </w:rPr>
            </w:pPr>
          </w:p>
        </w:tc>
        <w:tc>
          <w:tcPr>
            <w:tcW w:w="14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bottom w:val="single" w:sz="8" w:color="auto"/>
              <w:right w:val="single" w:sz="8" w:color="auto"/>
            </w:tcBorders>
          </w:tcPr>
          <w:p>
            <w:pPr>
              <w:jc w:val="right"/>
              <w:ind w:right="269"/>
              <w:spacing w:after="0"/>
              <w:rPr>
                <w:sz w:val="20"/>
                <w:szCs w:val="20"/>
                <w:color w:val="auto"/>
              </w:rPr>
            </w:pPr>
            <w:r>
              <w:rPr>
                <w:rFonts w:ascii="Times New Roman" w:cs="Times New Roman" w:eastAsia="Times New Roman" w:hAnsi="Times New Roman"/>
                <w:sz w:val="22"/>
                <w:szCs w:val="22"/>
                <w:color w:val="auto"/>
                <w:w w:val="96"/>
              </w:rPr>
              <w:t>***</w:t>
            </w:r>
          </w:p>
        </w:tc>
        <w:tc>
          <w:tcPr>
            <w:tcW w:w="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right w:val="single" w:sz="8" w:color="auto"/>
            </w:tcBorders>
          </w:tcPr>
          <w:p>
            <w:pPr>
              <w:jc w:val="right"/>
              <w:ind w:right="666"/>
              <w:spacing w:after="0"/>
              <w:rPr>
                <w:sz w:val="20"/>
                <w:szCs w:val="20"/>
                <w:color w:val="auto"/>
              </w:rPr>
            </w:pPr>
            <w:r>
              <w:rPr>
                <w:rFonts w:ascii="Times New Roman" w:cs="Times New Roman" w:eastAsia="Times New Roman" w:hAnsi="Times New Roman"/>
                <w:sz w:val="22"/>
                <w:szCs w:val="22"/>
                <w:color w:val="auto"/>
                <w:w w:val="96"/>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48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146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70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80" w:hanging="154"/>
        <w:spacing w:after="0"/>
        <w:tabs>
          <w:tab w:leader="none" w:pos="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22"/>
          <w:szCs w:val="22"/>
          <w:color w:val="auto"/>
        </w:rPr>
      </w:pPr>
    </w:p>
    <w:p>
      <w:pPr>
        <w:ind w:left="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17" w:lineRule="exact"/>
        <w:rPr>
          <w:rFonts w:ascii="Times New Roman" w:cs="Times New Roman" w:eastAsia="Times New Roman" w:hAnsi="Times New Roman"/>
          <w:sz w:val="22"/>
          <w:szCs w:val="22"/>
          <w:color w:val="auto"/>
        </w:rPr>
      </w:pPr>
    </w:p>
    <w:p>
      <w:pPr>
        <w:ind w:left="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17" w:lineRule="exact"/>
        <w:rPr>
          <w:rFonts w:ascii="Times New Roman" w:cs="Times New Roman" w:eastAsia="Times New Roman" w:hAnsi="Times New Roman"/>
          <w:sz w:val="22"/>
          <w:szCs w:val="22"/>
          <w:color w:val="auto"/>
        </w:rPr>
      </w:pPr>
    </w:p>
    <w:p>
      <w:pPr>
        <w:ind w:left="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17" w:lineRule="exact"/>
        <w:rPr>
          <w:rFonts w:ascii="Times New Roman" w:cs="Times New Roman" w:eastAsia="Times New Roman" w:hAnsi="Times New Roman"/>
          <w:sz w:val="22"/>
          <w:szCs w:val="22"/>
          <w:color w:val="auto"/>
        </w:rPr>
      </w:pPr>
    </w:p>
    <w:p>
      <w:pPr>
        <w:ind w:left="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++Manufacturer Serial Numbers identified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UAL-PA-04815</w:t>
            </w:r>
          </w:p>
        </w:tc>
        <w:tc>
          <w:tcPr>
            <w:tcW w:w="460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Boeing Proprietary</w:t>
            </w:r>
          </w:p>
        </w:tc>
        <w:tc>
          <w:tcPr>
            <w:tcW w:w="358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w w:val="98"/>
              </w:rPr>
              <w:t xml:space="preserve">787-*** Table 1: </w:t>
            </w:r>
            <w:r>
              <w:rPr>
                <w:rFonts w:ascii="Times New Roman" w:cs="Times New Roman" w:eastAsia="Times New Roman" w:hAnsi="Times New Roman"/>
                <w:sz w:val="18"/>
                <w:szCs w:val="18"/>
                <w:b w:val="1"/>
                <w:bCs w:val="1"/>
                <w:color w:val="auto"/>
                <w:w w:val="98"/>
              </w:rPr>
              <w:t>SA</w:t>
            </w:r>
            <w:r>
              <w:rPr>
                <w:rFonts w:ascii="Times New Roman" w:cs="Times New Roman" w:eastAsia="Times New Roman" w:hAnsi="Times New Roman"/>
                <w:sz w:val="18"/>
                <w:szCs w:val="18"/>
                <w:b w:val="1"/>
                <w:bCs w:val="1"/>
                <w:color w:val="EE2724"/>
                <w:w w:val="98"/>
              </w:rPr>
              <w:t>-15</w:t>
            </w:r>
            <w:r>
              <w:rPr>
                <w:rFonts w:ascii="Times New Roman" w:cs="Times New Roman" w:eastAsia="Times New Roman" w:hAnsi="Times New Roman"/>
                <w:sz w:val="18"/>
                <w:szCs w:val="18"/>
                <w:color w:val="auto"/>
                <w:w w:val="98"/>
              </w:rPr>
              <w:t>, Page 1</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APR </w:t>
            </w:r>
            <w:r>
              <w:rPr>
                <w:rFonts w:ascii="Times New Roman" w:cs="Times New Roman" w:eastAsia="Times New Roman" w:hAnsi="Times New Roman"/>
                <w:sz w:val="18"/>
                <w:szCs w:val="18"/>
                <w:b w:val="1"/>
                <w:bCs w:val="1"/>
                <w:color w:val="auto"/>
              </w:rPr>
              <w:t>122084</w:t>
            </w:r>
          </w:p>
        </w:tc>
        <w:tc>
          <w:tcPr>
            <w:tcW w:w="4600" w:type="dxa"/>
            <w:vAlign w:val="bottom"/>
            <w:vMerge w:val="continue"/>
          </w:tcPr>
          <w:p>
            <w:pPr>
              <w:spacing w:after="0"/>
              <w:rPr>
                <w:sz w:val="21"/>
                <w:szCs w:val="21"/>
                <w:color w:val="auto"/>
              </w:rPr>
            </w:pPr>
          </w:p>
        </w:tc>
        <w:tc>
          <w:tcPr>
            <w:tcW w:w="3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8" w:right="359" w:bottom="1440" w:gutter="0" w:footer="0" w:header="0"/>
        </w:sectPr>
      </w:pPr>
    </w:p>
    <w:bookmarkStart w:id="152" w:name="page153"/>
    <w:bookmarkEnd w:id="152"/>
    <w:p>
      <w:pPr>
        <w:jc w:val="center"/>
        <w:ind w:left="420" w:right="2640"/>
        <w:spacing w:after="0"/>
        <w:rPr>
          <w:sz w:val="20"/>
          <w:szCs w:val="20"/>
          <w:color w:val="auto"/>
        </w:rPr>
      </w:pPr>
      <w:r>
        <w:rPr>
          <w:rFonts w:ascii="Times New Roman" w:cs="Times New Roman" w:eastAsia="Times New Roman" w:hAnsi="Times New Roman"/>
          <w:sz w:val="22"/>
          <w:szCs w:val="22"/>
          <w:b w:val="1"/>
          <w:bCs w:val="1"/>
          <w:color w:val="auto"/>
        </w:rPr>
        <w:t>Table 1 to Purchase Agreement No. 04815 First *** 787-*** Aircraft Delivery, Description, Price and *** (787-***)</w:t>
      </w: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787-***</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pounds</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1040" w:type="dxa"/>
            <w:vAlign w:val="bottom"/>
          </w:tcPr>
          <w:p>
            <w:pPr>
              <w:spacing w:after="0"/>
              <w:rPr>
                <w:sz w:val="22"/>
                <w:szCs w:val="22"/>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Aircraft Configuration</w:t>
            </w:r>
          </w:p>
        </w:tc>
        <w:tc>
          <w:tcPr>
            <w:tcW w:w="1000" w:type="dxa"/>
            <w:vAlign w:val="bottom"/>
          </w:tcPr>
          <w:p>
            <w:pPr>
              <w:jc w:val="right"/>
              <w:ind w:right="64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Model/MTOW:</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w:t>
            </w:r>
          </w:p>
        </w:tc>
        <w:tc>
          <w:tcPr>
            <w:tcW w:w="1040" w:type="dxa"/>
            <w:vAlign w:val="bottom"/>
          </w:tcPr>
          <w:p>
            <w:pPr>
              <w:spacing w:after="0"/>
              <w:rPr>
                <w:sz w:val="19"/>
                <w:szCs w:val="19"/>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Specification :</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Engine</w:t>
            </w:r>
          </w:p>
        </w:tc>
        <w:tc>
          <w:tcPr>
            <w:tcW w:w="800" w:type="dxa"/>
            <w:vAlign w:val="bottom"/>
          </w:tcPr>
          <w:p>
            <w:pPr>
              <w:spacing w:after="0"/>
              <w:rPr>
                <w:sz w:val="17"/>
                <w:szCs w:val="17"/>
                <w:color w:val="auto"/>
              </w:rPr>
            </w:pPr>
          </w:p>
        </w:tc>
        <w:tc>
          <w:tcPr>
            <w:tcW w:w="6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pounds</w:t>
            </w:r>
          </w:p>
        </w:tc>
        <w:tc>
          <w:tcPr>
            <w:tcW w:w="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70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auto"/>
              </w:rPr>
              <w:t>Airframe Price Base Year/***</w:t>
            </w:r>
          </w:p>
        </w:tc>
        <w:tc>
          <w:tcPr>
            <w:tcW w:w="1000" w:type="dxa"/>
            <w:vAlign w:val="bottom"/>
          </w:tcPr>
          <w:p>
            <w:pPr>
              <w:jc w:val="right"/>
              <w:ind w:right="64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86"/>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Model/Thrust:</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Formula:</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Airframe Price:</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Engine Price Base</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jc w:val="right"/>
              <w:ind w:right="648"/>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86"/>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w:t>
            </w:r>
          </w:p>
        </w:tc>
        <w:tc>
          <w:tcPr>
            <w:tcW w:w="104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Year/*** Formula:</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Features:</w:t>
            </w: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continue"/>
          </w:tcPr>
          <w:p>
            <w:pPr>
              <w:spacing w:after="0"/>
              <w:rPr>
                <w:sz w:val="23"/>
                <w:szCs w:val="23"/>
                <w:color w:val="auto"/>
              </w:rPr>
            </w:pPr>
          </w:p>
        </w:tc>
        <w:tc>
          <w:tcPr>
            <w:tcW w:w="1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2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Sub-Total of Airframe and</w:t>
            </w:r>
          </w:p>
        </w:tc>
        <w:tc>
          <w:tcPr>
            <w:tcW w:w="1100" w:type="dxa"/>
            <w:vAlign w:val="bottom"/>
          </w:tcPr>
          <w:p>
            <w:pPr>
              <w:spacing w:after="0"/>
              <w:rPr>
                <w:sz w:val="16"/>
                <w:szCs w:val="16"/>
                <w:color w:val="auto"/>
              </w:rPr>
            </w:pPr>
          </w:p>
        </w:tc>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w w:val="99"/>
              </w:rPr>
              <w:t>Airframe *** Data:</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Features:</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w:t>
            </w:r>
          </w:p>
        </w:tc>
        <w:tc>
          <w:tcPr>
            <w:tcW w:w="10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Engine Price (Per</w:t>
            </w: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70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auto"/>
              </w:rPr>
              <w:t>Base Year Index (ECI):</w:t>
            </w:r>
          </w:p>
        </w:tc>
        <w:tc>
          <w:tcPr>
            <w:tcW w:w="1000" w:type="dxa"/>
            <w:vAlign w:val="bottom"/>
          </w:tcPr>
          <w:p>
            <w:pPr>
              <w:jc w:val="right"/>
              <w:ind w:right="64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Aircraft Basic Price</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Base Year Index (CPI):</w:t>
            </w:r>
          </w:p>
        </w:tc>
        <w:tc>
          <w:tcPr>
            <w:tcW w:w="1000" w:type="dxa"/>
            <w:vAlign w:val="bottom"/>
          </w:tcPr>
          <w:p>
            <w:pPr>
              <w:jc w:val="right"/>
              <w:ind w:right="648"/>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(Excluding BFE/SPE):</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Buyer Furnished Equipment</w:t>
            </w:r>
          </w:p>
        </w:tc>
        <w:tc>
          <w:tcPr>
            <w:tcW w:w="1100" w:type="dxa"/>
            <w:vAlign w:val="bottom"/>
          </w:tcPr>
          <w:p>
            <w:pPr>
              <w:spacing w:after="0"/>
              <w:rPr>
                <w:sz w:val="17"/>
                <w:szCs w:val="17"/>
                <w:color w:val="auto"/>
              </w:rPr>
            </w:pPr>
          </w:p>
        </w:tc>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Engine *** Data:</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(BFE) Estimate:</w:t>
            </w: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w:t>
            </w:r>
          </w:p>
        </w:tc>
        <w:tc>
          <w:tcPr>
            <w:tcW w:w="10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8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color w:val="auto"/>
              </w:rPr>
              <w:t>Seller Purchased Equipment</w:t>
            </w:r>
          </w:p>
        </w:tc>
        <w:tc>
          <w:tcPr>
            <w:tcW w:w="110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70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auto"/>
              </w:rPr>
              <w:t>Base Year Index (ECI):</w:t>
            </w:r>
          </w:p>
        </w:tc>
        <w:tc>
          <w:tcPr>
            <w:tcW w:w="1000" w:type="dxa"/>
            <w:vAlign w:val="bottom"/>
          </w:tcPr>
          <w:p>
            <w:pPr>
              <w:jc w:val="right"/>
              <w:ind w:right="64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 per Aircraft:</w:t>
            </w: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continue"/>
          </w:tcPr>
          <w:p>
            <w:pPr>
              <w:spacing w:after="0"/>
              <w:rPr>
                <w:sz w:val="23"/>
                <w:szCs w:val="23"/>
                <w:color w:val="auto"/>
              </w:rPr>
            </w:pPr>
          </w:p>
        </w:tc>
        <w:tc>
          <w:tcPr>
            <w:tcW w:w="1040" w:type="dxa"/>
            <w:vAlign w:val="bottom"/>
          </w:tcPr>
          <w:p>
            <w:pPr>
              <w:spacing w:after="0"/>
              <w:rPr>
                <w:sz w:val="23"/>
                <w:szCs w:val="23"/>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Base Year Index (CPI):</w:t>
            </w:r>
          </w:p>
        </w:tc>
        <w:tc>
          <w:tcPr>
            <w:tcW w:w="1000" w:type="dxa"/>
            <w:vAlign w:val="bottom"/>
          </w:tcPr>
          <w:p>
            <w:pPr>
              <w:jc w:val="right"/>
              <w:ind w:right="64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9"/>
        </w:trPr>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Contract</w:t>
            </w:r>
          </w:p>
        </w:tc>
        <w:tc>
          <w:tcPr>
            <w:tcW w:w="6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Number</w:t>
            </w:r>
          </w:p>
        </w:tc>
        <w:tc>
          <w:tcPr>
            <w:tcW w:w="11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7"/>
                <w:szCs w:val="17"/>
                <w:color w:val="auto"/>
              </w:rPr>
              <w:t>**** Factor</w:t>
            </w:r>
          </w:p>
        </w:tc>
        <w:tc>
          <w:tcPr>
            <w:tcW w:w="10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 Factor</w:t>
            </w:r>
          </w:p>
        </w:tc>
        <w:tc>
          <w:tcPr>
            <w:tcW w:w="8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Manufacturer</w:t>
            </w:r>
          </w:p>
        </w:tc>
        <w:tc>
          <w:tcPr>
            <w:tcW w:w="9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right w:val="single" w:sz="8" w:color="auto"/>
            </w:tcBorders>
            <w:gridSpan w:val="4"/>
          </w:tcPr>
          <w:p>
            <w:pPr>
              <w:jc w:val="right"/>
              <w:ind w:right="466"/>
              <w:spacing w:after="0" w:line="169" w:lineRule="exact"/>
              <w:rPr>
                <w:sz w:val="20"/>
                <w:szCs w:val="20"/>
                <w:color w:val="auto"/>
              </w:rPr>
            </w:pPr>
            <w:r>
              <w:rPr>
                <w:rFonts w:ascii="Times New Roman" w:cs="Times New Roman" w:eastAsia="Times New Roman" w:hAnsi="Times New Roman"/>
                <w:sz w:val="18"/>
                <w:szCs w:val="18"/>
                <w:color w:val="auto"/>
                <w:w w:val="99"/>
              </w:rPr>
              <w:t>*** (Amts. Due/*** Prior to Delivery):</w:t>
            </w:r>
          </w:p>
        </w:tc>
        <w:tc>
          <w:tcPr>
            <w:tcW w:w="0" w:type="dxa"/>
            <w:vAlign w:val="bottom"/>
          </w:tcPr>
          <w:p>
            <w:pPr>
              <w:spacing w:after="0"/>
              <w:rPr>
                <w:sz w:val="1"/>
                <w:szCs w:val="1"/>
                <w:color w:val="auto"/>
              </w:rPr>
            </w:pPr>
          </w:p>
        </w:tc>
      </w:tr>
      <w:tr>
        <w:trPr>
          <w:trHeight w:val="155"/>
        </w:trPr>
        <w:tc>
          <w:tcPr>
            <w:tcW w:w="82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Aircraft</w:t>
            </w:r>
          </w:p>
        </w:tc>
        <w:tc>
          <w:tcPr>
            <w:tcW w:w="800" w:type="dxa"/>
            <w:vAlign w:val="bottom"/>
            <w:tcBorders>
              <w:right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Delivery</w:t>
            </w:r>
          </w:p>
        </w:tc>
        <w:tc>
          <w:tcPr>
            <w:tcW w:w="66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of</w:t>
            </w:r>
          </w:p>
        </w:tc>
        <w:tc>
          <w:tcPr>
            <w:tcW w:w="110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7"/>
                <w:szCs w:val="17"/>
                <w:color w:val="auto"/>
              </w:rPr>
              <w:t>(Airframe)</w:t>
            </w:r>
          </w:p>
        </w:tc>
        <w:tc>
          <w:tcPr>
            <w:tcW w:w="1080" w:type="dxa"/>
            <w:vAlign w:val="bottom"/>
            <w:tcBorders>
              <w:right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(Engine)</w:t>
            </w:r>
          </w:p>
        </w:tc>
        <w:tc>
          <w:tcPr>
            <w:tcW w:w="820" w:type="dxa"/>
            <w:vAlign w:val="bottom"/>
            <w:tcBorders>
              <w:right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Forecast</w:t>
            </w:r>
          </w:p>
        </w:tc>
        <w:tc>
          <w:tcPr>
            <w:tcW w:w="1040" w:type="dxa"/>
            <w:vAlign w:val="bottom"/>
            <w:tcBorders>
              <w:right w:val="single" w:sz="8" w:color="auto"/>
            </w:tcBorders>
          </w:tcPr>
          <w:p>
            <w:pPr>
              <w:ind w:left="20"/>
              <w:spacing w:after="0" w:line="156" w:lineRule="exact"/>
              <w:rPr>
                <w:sz w:val="20"/>
                <w:szCs w:val="20"/>
                <w:color w:val="auto"/>
              </w:rPr>
            </w:pPr>
            <w:r>
              <w:rPr>
                <w:rFonts w:ascii="Times New Roman" w:cs="Times New Roman" w:eastAsia="Times New Roman" w:hAnsi="Times New Roman"/>
                <w:sz w:val="18"/>
                <w:szCs w:val="18"/>
                <w:color w:val="auto"/>
              </w:rPr>
              <w:t>Serial</w:t>
            </w:r>
          </w:p>
        </w:tc>
        <w:tc>
          <w:tcPr>
            <w:tcW w:w="920" w:type="dxa"/>
            <w:vAlign w:val="bottom"/>
            <w:tcBorders>
              <w:right w:val="single" w:sz="8" w:color="auto"/>
            </w:tcBorders>
          </w:tcPr>
          <w:p>
            <w:pPr>
              <w:ind w:left="20"/>
              <w:spacing w:after="0" w:line="156" w:lineRule="exact"/>
              <w:rPr>
                <w:sz w:val="20"/>
                <w:szCs w:val="20"/>
                <w:color w:val="auto"/>
              </w:rPr>
            </w:pPr>
            <w:r>
              <w:rPr>
                <w:rFonts w:ascii="Times New Roman" w:cs="Times New Roman" w:eastAsia="Times New Roman" w:hAnsi="Times New Roman"/>
                <w:sz w:val="18"/>
                <w:szCs w:val="18"/>
                <w:color w:val="auto"/>
              </w:rPr>
              <w:t>Estimate</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Aircraft</w:t>
            </w:r>
          </w:p>
        </w:tc>
        <w:tc>
          <w:tcPr>
            <w:tcW w:w="11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Number##</w:t>
            </w:r>
          </w:p>
        </w:tc>
        <w:tc>
          <w:tcPr>
            <w:tcW w:w="9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 Base</w:t>
            </w:r>
          </w:p>
        </w:tc>
        <w:tc>
          <w:tcPr>
            <w:tcW w:w="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20" w:type="dxa"/>
            <w:vAlign w:val="bottom"/>
            <w:tcBorders>
              <w:left w:val="single" w:sz="8" w:color="auto"/>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Price Per</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A/P</w:t>
            </w:r>
          </w:p>
        </w:tc>
        <w:tc>
          <w:tcPr>
            <w:tcW w:w="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vMerge w:val="continue"/>
          </w:tcPr>
          <w:p>
            <w:pPr>
              <w:spacing w:after="0"/>
              <w:rPr>
                <w:sz w:val="7"/>
                <w:szCs w:val="7"/>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6"/>
              </w:rPr>
              <w:t>***</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Borders>
              <w:bottom w:val="single" w:sz="8" w:color="auto"/>
            </w:tcBorders>
            <w:vMerge w:val="continue"/>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00" w:type="dxa"/>
            <w:vAlign w:val="bottom"/>
            <w:tcBorders>
              <w:bottom w:val="single" w:sz="8" w:color="auto"/>
              <w:right w:val="single" w:sz="8" w:color="auto"/>
            </w:tcBorders>
            <w:vMerge w:val="continue"/>
          </w:tcPr>
          <w:p>
            <w:pPr>
              <w:spacing w:after="0"/>
              <w:rPr>
                <w:sz w:val="23"/>
                <w:szCs w:val="23"/>
                <w:color w:val="auto"/>
              </w:rPr>
            </w:pPr>
          </w:p>
        </w:tc>
        <w:tc>
          <w:tcPr>
            <w:tcW w:w="1000" w:type="dxa"/>
            <w:vAlign w:val="bottom"/>
            <w:tcBorders>
              <w:bottom w:val="single" w:sz="8" w:color="auto"/>
              <w:right w:val="single" w:sz="8" w:color="auto"/>
            </w:tcBorders>
            <w:vMerge w:val="continue"/>
          </w:tcPr>
          <w:p>
            <w:pPr>
              <w:spacing w:after="0"/>
              <w:rPr>
                <w:sz w:val="23"/>
                <w:szCs w:val="23"/>
                <w:color w:val="auto"/>
              </w:rPr>
            </w:pPr>
          </w:p>
        </w:tc>
        <w:tc>
          <w:tcPr>
            <w:tcW w:w="1140" w:type="dxa"/>
            <w:vAlign w:val="bottom"/>
            <w:tcBorders>
              <w:bottom w:val="single" w:sz="8" w:color="auto"/>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2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 ***</w:t>
            </w: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 ***</w:t>
            </w: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 ***</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0" w:right="8260" w:firstLine="6"/>
        <w:spacing w:after="0" w:line="230" w:lineRule="auto"/>
        <w:tabs>
          <w:tab w:leader="none" w:pos="29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Manufacturer Serial Numbers identified above ***.</w:t>
      </w:r>
    </w:p>
    <w:p>
      <w:pPr>
        <w:spacing w:after="0" w:line="1" w:lineRule="exact"/>
        <w:rPr>
          <w:sz w:val="20"/>
          <w:szCs w:val="20"/>
          <w:color w:val="auto"/>
        </w:rPr>
      </w:pPr>
    </w:p>
    <w:p>
      <w:pPr>
        <w:ind w:left="180" w:hanging="154"/>
        <w:spacing w:after="0"/>
        <w:tabs>
          <w:tab w:leader="none" w:pos="18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Aircraft in this Table 1 shown in a row with *** that such Aircraft is *** Scheduled Delivery *** Aircraft. - Accordingly, ***</w:t>
      </w:r>
    </w:p>
    <w:p>
      <w:pPr>
        <w:spacing w:after="0" w:line="28" w:lineRule="exact"/>
        <w:rPr>
          <w:rFonts w:ascii="Times New Roman" w:cs="Times New Roman" w:eastAsia="Times New Roman" w:hAnsi="Times New Roman"/>
          <w:sz w:val="21"/>
          <w:szCs w:val="21"/>
          <w:color w:val="auto"/>
        </w:rPr>
      </w:pPr>
    </w:p>
    <w:p>
      <w:pPr>
        <w:ind w:left="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Complete Schedule of *** Scheduled Delivery *** Aircraft is as follows:</w:t>
      </w:r>
    </w:p>
    <w:tbl>
      <w:tblPr>
        <w:tblLayout w:type="fixed"/>
        <w:tblInd w:w="20" w:type="dxa"/>
        <w:tblCellMar>
          <w:top w:w="0" w:type="dxa"/>
          <w:left w:w="0" w:type="dxa"/>
          <w:bottom w:w="0" w:type="dxa"/>
          <w:right w:w="0" w:type="dxa"/>
        </w:tblCellMar>
      </w:tblPr>
      <w:tr>
        <w:trPr>
          <w:trHeight w:val="221"/>
        </w:trPr>
        <w:tc>
          <w:tcPr>
            <w:tcW w:w="4300" w:type="dxa"/>
            <w:vAlign w:val="bottom"/>
          </w:tcPr>
          <w:p>
            <w:pPr>
              <w:spacing w:after="0" w:line="221" w:lineRule="exact"/>
              <w:rPr>
                <w:sz w:val="20"/>
                <w:szCs w:val="20"/>
                <w:color w:val="auto"/>
              </w:rPr>
            </w:pPr>
            <w:r>
              <w:rPr>
                <w:rFonts w:ascii="Times New Roman" w:cs="Times New Roman" w:eastAsia="Times New Roman" w:hAnsi="Times New Roman"/>
                <w:sz w:val="22"/>
                <w:szCs w:val="22"/>
                <w:color w:val="auto"/>
              </w:rPr>
              <w:t>The Aircraft in this Table 1 for 1st *** 787-***</w:t>
            </w:r>
          </w:p>
        </w:tc>
        <w:tc>
          <w:tcPr>
            <w:tcW w:w="700" w:type="dxa"/>
            <w:vAlign w:val="bottom"/>
          </w:tcPr>
          <w:p>
            <w:pPr>
              <w:jc w:val="right"/>
              <w:ind w:right="132"/>
              <w:spacing w:after="0" w:line="221"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ind w:left="260"/>
              <w:spacing w:after="0" w:line="221" w:lineRule="exact"/>
              <w:rPr>
                <w:sz w:val="20"/>
                <w:szCs w:val="20"/>
                <w:color w:val="auto"/>
              </w:rPr>
            </w:pPr>
            <w:r>
              <w:rPr>
                <w:rFonts w:ascii="Times New Roman" w:cs="Times New Roman" w:eastAsia="Times New Roman" w:hAnsi="Times New Roman"/>
                <w:sz w:val="22"/>
                <w:szCs w:val="22"/>
                <w:color w:val="auto"/>
              </w:rPr>
              <w:t>through</w:t>
            </w:r>
          </w:p>
        </w:tc>
        <w:tc>
          <w:tcPr>
            <w:tcW w:w="800" w:type="dxa"/>
            <w:vAlign w:val="bottom"/>
          </w:tcPr>
          <w:p>
            <w:pPr>
              <w:jc w:val="right"/>
              <w:ind w:right="192"/>
              <w:spacing w:after="0" w:line="221" w:lineRule="exact"/>
              <w:rPr>
                <w:sz w:val="20"/>
                <w:szCs w:val="20"/>
                <w:color w:val="auto"/>
              </w:rPr>
            </w:pPr>
            <w:r>
              <w:rPr>
                <w:rFonts w:ascii="Times New Roman" w:cs="Times New Roman" w:eastAsia="Times New Roman" w:hAnsi="Times New Roman"/>
                <w:sz w:val="22"/>
                <w:szCs w:val="22"/>
                <w:color w:val="auto"/>
              </w:rPr>
              <w:t>***</w:t>
            </w:r>
          </w:p>
        </w:tc>
        <w:tc>
          <w:tcPr>
            <w:tcW w:w="4100" w:type="dxa"/>
            <w:vAlign w:val="bottom"/>
          </w:tcPr>
          <w:p>
            <w:pPr>
              <w:ind w:left="300"/>
              <w:spacing w:after="0" w:line="221" w:lineRule="exact"/>
              <w:rPr>
                <w:sz w:val="20"/>
                <w:szCs w:val="20"/>
                <w:color w:val="auto"/>
              </w:rPr>
            </w:pPr>
            <w:r>
              <w:rPr>
                <w:rFonts w:ascii="Times New Roman" w:cs="Times New Roman" w:eastAsia="Times New Roman" w:hAnsi="Times New Roman"/>
                <w:sz w:val="22"/>
                <w:szCs w:val="22"/>
                <w:color w:val="auto"/>
                <w:w w:val="97"/>
              </w:rPr>
              <w:t>of the *** Scheduled Delivery *** Aircraft.</w:t>
            </w:r>
          </w:p>
        </w:tc>
      </w:tr>
      <w:tr>
        <w:trPr>
          <w:trHeight w:val="270"/>
        </w:trPr>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are Aircraft #</w:t>
            </w: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16"/>
        </w:trPr>
        <w:tc>
          <w:tcPr>
            <w:tcW w:w="43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The Aircraft in LA-1802897R4 Attachment A-1</w:t>
            </w:r>
          </w:p>
        </w:tc>
        <w:tc>
          <w:tcPr>
            <w:tcW w:w="700" w:type="dxa"/>
            <w:vAlign w:val="bottom"/>
          </w:tcPr>
          <w:p>
            <w:pPr>
              <w:jc w:val="right"/>
              <w:ind w:right="132"/>
              <w:spacing w:after="0" w:line="217"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through</w:t>
            </w:r>
          </w:p>
        </w:tc>
        <w:tc>
          <w:tcPr>
            <w:tcW w:w="800" w:type="dxa"/>
            <w:vAlign w:val="bottom"/>
          </w:tcPr>
          <w:p>
            <w:pPr>
              <w:jc w:val="right"/>
              <w:ind w:right="192"/>
              <w:spacing w:after="0" w:line="217" w:lineRule="exact"/>
              <w:rPr>
                <w:sz w:val="20"/>
                <w:szCs w:val="20"/>
                <w:color w:val="auto"/>
              </w:rPr>
            </w:pPr>
            <w:r>
              <w:rPr>
                <w:rFonts w:ascii="Times New Roman" w:cs="Times New Roman" w:eastAsia="Times New Roman" w:hAnsi="Times New Roman"/>
                <w:sz w:val="22"/>
                <w:szCs w:val="22"/>
                <w:color w:val="auto"/>
              </w:rPr>
              <w:t>***</w:t>
            </w:r>
          </w:p>
        </w:tc>
        <w:tc>
          <w:tcPr>
            <w:tcW w:w="410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w w:val="97"/>
              </w:rPr>
              <w:t>of the *** Scheduled Delivery *** Aircraft.</w:t>
            </w:r>
          </w:p>
        </w:tc>
      </w:tr>
      <w:tr>
        <w:trPr>
          <w:trHeight w:val="270"/>
        </w:trPr>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are Aircraft #</w:t>
            </w: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16"/>
        </w:trPr>
        <w:tc>
          <w:tcPr>
            <w:tcW w:w="43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The Aircraft in Table 1 for the *** 787-*** are</w:t>
            </w:r>
          </w:p>
        </w:tc>
        <w:tc>
          <w:tcPr>
            <w:tcW w:w="700" w:type="dxa"/>
            <w:vAlign w:val="bottom"/>
          </w:tcPr>
          <w:p>
            <w:pPr>
              <w:jc w:val="right"/>
              <w:ind w:right="132"/>
              <w:spacing w:after="0" w:line="217"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through</w:t>
            </w:r>
          </w:p>
        </w:tc>
        <w:tc>
          <w:tcPr>
            <w:tcW w:w="800" w:type="dxa"/>
            <w:vAlign w:val="bottom"/>
          </w:tcPr>
          <w:p>
            <w:pPr>
              <w:jc w:val="right"/>
              <w:ind w:right="192"/>
              <w:spacing w:after="0" w:line="217" w:lineRule="exact"/>
              <w:rPr>
                <w:sz w:val="20"/>
                <w:szCs w:val="20"/>
                <w:color w:val="auto"/>
              </w:rPr>
            </w:pPr>
            <w:r>
              <w:rPr>
                <w:rFonts w:ascii="Times New Roman" w:cs="Times New Roman" w:eastAsia="Times New Roman" w:hAnsi="Times New Roman"/>
                <w:sz w:val="22"/>
                <w:szCs w:val="22"/>
                <w:color w:val="auto"/>
              </w:rPr>
              <w:t>***</w:t>
            </w:r>
          </w:p>
        </w:tc>
        <w:tc>
          <w:tcPr>
            <w:tcW w:w="410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w w:val="97"/>
              </w:rPr>
              <w:t>of the *** Scheduled Delivery *** Aircraft.</w:t>
            </w:r>
          </w:p>
        </w:tc>
      </w:tr>
      <w:tr>
        <w:trPr>
          <w:trHeight w:val="270"/>
        </w:trPr>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Aircraft #</w:t>
            </w: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16"/>
        </w:trPr>
        <w:tc>
          <w:tcPr>
            <w:tcW w:w="5000" w:type="dxa"/>
            <w:vAlign w:val="bottom"/>
            <w:gridSpan w:val="2"/>
          </w:tcPr>
          <w:p>
            <w:pPr>
              <w:spacing w:after="0" w:line="217" w:lineRule="exact"/>
              <w:rPr>
                <w:sz w:val="20"/>
                <w:szCs w:val="20"/>
                <w:color w:val="auto"/>
              </w:rPr>
            </w:pPr>
            <w:r>
              <w:rPr>
                <w:rFonts w:ascii="Times New Roman" w:cs="Times New Roman" w:eastAsia="Times New Roman" w:hAnsi="Times New Roman"/>
                <w:sz w:val="22"/>
                <w:szCs w:val="22"/>
                <w:color w:val="auto"/>
              </w:rPr>
              <w:t>The Aircraft in Table 1 for the New Configuration ***</w:t>
            </w:r>
          </w:p>
        </w:tc>
        <w:tc>
          <w:tcPr>
            <w:tcW w:w="112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through</w:t>
            </w:r>
          </w:p>
        </w:tc>
        <w:tc>
          <w:tcPr>
            <w:tcW w:w="800" w:type="dxa"/>
            <w:vAlign w:val="bottom"/>
          </w:tcPr>
          <w:p>
            <w:pPr>
              <w:jc w:val="right"/>
              <w:ind w:right="192"/>
              <w:spacing w:after="0" w:line="217" w:lineRule="exact"/>
              <w:rPr>
                <w:sz w:val="20"/>
                <w:szCs w:val="20"/>
                <w:color w:val="auto"/>
              </w:rPr>
            </w:pPr>
            <w:r>
              <w:rPr>
                <w:rFonts w:ascii="Times New Roman" w:cs="Times New Roman" w:eastAsia="Times New Roman" w:hAnsi="Times New Roman"/>
                <w:sz w:val="22"/>
                <w:szCs w:val="22"/>
                <w:color w:val="auto"/>
              </w:rPr>
              <w:t>***</w:t>
            </w:r>
          </w:p>
        </w:tc>
        <w:tc>
          <w:tcPr>
            <w:tcW w:w="410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w w:val="97"/>
              </w:rPr>
              <w:t>of the *** Scheduled Delivery *** Aircraft.</w:t>
            </w:r>
          </w:p>
        </w:tc>
      </w:tr>
      <w:tr>
        <w:trPr>
          <w:trHeight w:val="282"/>
        </w:trPr>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787-*** are Aircraft #</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UAL-PA-04815</w:t>
      </w:r>
    </w:p>
    <w:p>
      <w:pPr>
        <w:ind w:left="20"/>
        <w:spacing w:after="0"/>
        <w:tabs>
          <w:tab w:leader="none" w:pos="4780" w:val="left"/>
          <w:tab w:leader="none" w:pos="8740" w:val="left"/>
        </w:tabs>
        <w:rPr>
          <w:sz w:val="20"/>
          <w:szCs w:val="20"/>
          <w:color w:val="auto"/>
        </w:rPr>
      </w:pPr>
      <w:r>
        <w:rPr>
          <w:rFonts w:ascii="Times New Roman" w:cs="Times New Roman" w:eastAsia="Times New Roman" w:hAnsi="Times New Roman"/>
          <w:sz w:val="18"/>
          <w:szCs w:val="18"/>
          <w:b w:val="1"/>
          <w:bCs w:val="1"/>
          <w:color w:val="auto"/>
        </w:rPr>
        <w:t>APR 125311 for *** 787-*** Aircraft</w:t>
      </w:r>
      <w:r>
        <w:rPr>
          <w:sz w:val="20"/>
          <w:szCs w:val="20"/>
          <w:color w:val="auto"/>
        </w:rPr>
        <w:tab/>
      </w:r>
      <w:r>
        <w:rPr>
          <w:rFonts w:ascii="Times New Roman" w:cs="Times New Roman" w:eastAsia="Times New Roman" w:hAnsi="Times New Roman"/>
          <w:sz w:val="18"/>
          <w:szCs w:val="18"/>
          <w:b w:val="1"/>
          <w:bCs w:val="1"/>
          <w:color w:val="auto"/>
        </w:rPr>
        <w:t>Boeing Proprietary</w:t>
      </w:r>
      <w:r>
        <w:rPr>
          <w:sz w:val="20"/>
          <w:szCs w:val="20"/>
          <w:color w:val="auto"/>
        </w:rPr>
        <w:tab/>
      </w:r>
      <w:r>
        <w:rPr>
          <w:rFonts w:ascii="Times New Roman" w:cs="Times New Roman" w:eastAsia="Times New Roman" w:hAnsi="Times New Roman"/>
          <w:sz w:val="17"/>
          <w:szCs w:val="17"/>
          <w:color w:val="auto"/>
        </w:rPr>
        <w:t xml:space="preserve">787-*** Table 1: </w:t>
      </w:r>
      <w:r>
        <w:rPr>
          <w:rFonts w:ascii="Times New Roman" w:cs="Times New Roman" w:eastAsia="Times New Roman" w:hAnsi="Times New Roman"/>
          <w:sz w:val="17"/>
          <w:szCs w:val="17"/>
          <w:b w:val="1"/>
          <w:bCs w:val="1"/>
          <w:color w:val="auto"/>
        </w:rPr>
        <w:t>SA-15</w:t>
      </w:r>
      <w:r>
        <w:rPr>
          <w:rFonts w:ascii="Times New Roman" w:cs="Times New Roman" w:eastAsia="Times New Roman" w:hAnsi="Times New Roman"/>
          <w:sz w:val="17"/>
          <w:szCs w:val="17"/>
          <w:color w:val="auto"/>
        </w:rPr>
        <w:t>, Page 1</w:t>
      </w:r>
    </w:p>
    <w:p>
      <w:pPr>
        <w:sectPr>
          <w:pgSz w:w="11900" w:h="16838" w:orient="portrait"/>
          <w:cols w:equalWidth="0" w:num="1">
            <w:col w:w="11140"/>
          </w:cols>
          <w:pgMar w:left="320" w:top="96" w:right="439" w:bottom="1440" w:gutter="0" w:footer="0" w:header="0"/>
        </w:sectPr>
      </w:pPr>
    </w:p>
    <w:bookmarkStart w:id="153" w:name="page154"/>
    <w:bookmarkEnd w:id="153"/>
    <w:p>
      <w:pPr>
        <w:jc w:val="center"/>
        <w:ind w:right="-59"/>
        <w:spacing w:after="0"/>
        <w:rPr>
          <w:sz w:val="20"/>
          <w:szCs w:val="20"/>
          <w:color w:val="auto"/>
        </w:rPr>
      </w:pPr>
      <w:r>
        <w:rPr>
          <w:rFonts w:ascii="Arial" w:cs="Arial" w:eastAsia="Arial" w:hAnsi="Arial"/>
          <w:sz w:val="22"/>
          <w:szCs w:val="22"/>
          <w:b w:val="1"/>
          <w:bCs w:val="1"/>
          <w:color w:val="auto"/>
        </w:rPr>
        <w:t>Table 1 to Purchase Agreement No. 04815</w:t>
      </w:r>
    </w:p>
    <w:p>
      <w:pPr>
        <w:jc w:val="center"/>
        <w:ind w:right="-59"/>
        <w:spacing w:after="0" w:line="204" w:lineRule="auto"/>
        <w:rPr>
          <w:sz w:val="20"/>
          <w:szCs w:val="20"/>
          <w:color w:val="auto"/>
        </w:rPr>
      </w:pPr>
      <w:r>
        <w:rPr>
          <w:rFonts w:ascii="Arial" w:cs="Arial" w:eastAsia="Arial" w:hAnsi="Arial"/>
          <w:sz w:val="22"/>
          <w:szCs w:val="22"/>
          <w:b w:val="1"/>
          <w:bCs w:val="1"/>
          <w:color w:val="auto"/>
        </w:rPr>
        <w:t>*** 787-*** Aircraft Delivery, Description, Price and ***</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(787-***)</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74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787-</w:t>
            </w:r>
          </w:p>
        </w:tc>
        <w:tc>
          <w:tcPr>
            <w:tcW w:w="10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pounds</w:t>
            </w:r>
          </w:p>
        </w:tc>
        <w:tc>
          <w:tcPr>
            <w:tcW w:w="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w:t>
            </w:r>
          </w:p>
        </w:tc>
        <w:tc>
          <w:tcPr>
            <w:tcW w:w="116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2"/>
                <w:szCs w:val="22"/>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FFFFFF"/>
              </w:rPr>
              <w:t>4Q25 External</w:t>
            </w:r>
          </w:p>
        </w:tc>
        <w:tc>
          <w:tcPr>
            <w:tcW w:w="0" w:type="dxa"/>
            <w:vAlign w:val="bottom"/>
          </w:tcPr>
          <w:p>
            <w:pPr>
              <w:spacing w:after="0"/>
              <w:rPr>
                <w:sz w:val="1"/>
                <w:szCs w:val="1"/>
                <w:color w:val="auto"/>
              </w:rPr>
            </w:pPr>
          </w:p>
        </w:tc>
      </w:tr>
      <w:tr>
        <w:trPr>
          <w:trHeight w:val="165"/>
        </w:trPr>
        <w:tc>
          <w:tcPr>
            <w:tcW w:w="12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Model/MTOW:</w:t>
            </w:r>
          </w:p>
        </w:tc>
        <w:tc>
          <w:tcPr>
            <w:tcW w:w="740" w:type="dxa"/>
            <w:vAlign w:val="bottom"/>
          </w:tcPr>
          <w:p>
            <w:pPr>
              <w:spacing w:after="0"/>
              <w:rPr>
                <w:sz w:val="14"/>
                <w:szCs w:val="14"/>
                <w:color w:val="auto"/>
              </w:rPr>
            </w:pPr>
          </w:p>
        </w:tc>
        <w:tc>
          <w:tcPr>
            <w:tcW w:w="560" w:type="dxa"/>
            <w:vAlign w:val="bottom"/>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gridSpan w:val="4"/>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Configuration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line="165" w:lineRule="exact"/>
              <w:rPr>
                <w:sz w:val="20"/>
                <w:szCs w:val="20"/>
                <w:color w:val="auto"/>
              </w:rPr>
            </w:pPr>
            <w:r>
              <w:rPr>
                <w:rFonts w:ascii="Times New Roman" w:cs="Times New Roman" w:eastAsia="Times New Roman" w:hAnsi="Times New Roman"/>
                <w:sz w:val="18"/>
                <w:szCs w:val="18"/>
                <w:b w:val="1"/>
                <w:bCs w:val="1"/>
                <w:color w:val="FFFFFF"/>
              </w:rPr>
              <w:t>Fcst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2</w:t>
            </w:r>
          </w:p>
        </w:tc>
        <w:tc>
          <w:tcPr>
            <w:tcW w:w="1160" w:type="dxa"/>
            <w:vAlign w:val="bottom"/>
          </w:tcPr>
          <w:p>
            <w:pPr>
              <w:spacing w:after="0"/>
              <w:rPr>
                <w:sz w:val="19"/>
                <w:szCs w:val="19"/>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Specification:</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20" w:type="dxa"/>
            <w:vAlign w:val="bottom"/>
            <w:gridSpan w:val="3"/>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Engine Model/Thrust:</w:t>
            </w:r>
          </w:p>
        </w:tc>
        <w:tc>
          <w:tcPr>
            <w:tcW w:w="56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98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 pounds</w:t>
            </w:r>
          </w:p>
        </w:tc>
        <w:tc>
          <w:tcPr>
            <w:tcW w:w="7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560" w:type="dxa"/>
            <w:vAlign w:val="bottom"/>
            <w:gridSpan w:val="7"/>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Airframe Price Base Year/***</w:t>
            </w:r>
          </w:p>
        </w:tc>
        <w:tc>
          <w:tcPr>
            <w:tcW w:w="940" w:type="dxa"/>
            <w:vAlign w:val="bottom"/>
            <w:gridSpan w:val="2"/>
          </w:tcPr>
          <w:p>
            <w:pPr>
              <w:jc w:val="right"/>
              <w:ind w:right="544"/>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Airframe</w:t>
            </w: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6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Engine Price Base</w:t>
            </w:r>
          </w:p>
        </w:tc>
        <w:tc>
          <w:tcPr>
            <w:tcW w:w="940" w:type="dxa"/>
            <w:vAlign w:val="bottom"/>
            <w:gridSpan w:val="2"/>
          </w:tcPr>
          <w:p>
            <w:pPr>
              <w:jc w:val="right"/>
              <w:ind w:right="544"/>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3</w:t>
            </w:r>
          </w:p>
        </w:tc>
        <w:tc>
          <w:tcPr>
            <w:tcW w:w="116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Year/*** Formula:</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2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w w:val="96"/>
              </w:rPr>
              <w:t>Optional</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Features:</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Sub-Total of Airframe</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6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Airframe *** Data:</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and Features:</w:t>
            </w: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2</w:t>
            </w:r>
          </w:p>
        </w:tc>
        <w:tc>
          <w:tcPr>
            <w:tcW w:w="1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20" w:type="dxa"/>
            <w:vAlign w:val="bottom"/>
            <w:gridSpan w:val="3"/>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Engine Price (Per</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gridSpan w:val="4"/>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Base Year Index</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gridSpan w:val="2"/>
          </w:tcPr>
          <w:p>
            <w:pPr>
              <w:jc w:val="right"/>
              <w:ind w:right="544"/>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(ECI):</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600" w:type="dxa"/>
            <w:vAlign w:val="bottom"/>
            <w:gridSpan w:val="5"/>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Aircraft Basic Price (Excluding BFE/SPE):</w:t>
            </w:r>
          </w:p>
        </w:tc>
        <w:tc>
          <w:tcPr>
            <w:tcW w:w="980" w:type="dxa"/>
            <w:vAlign w:val="bottom"/>
          </w:tcPr>
          <w:p>
            <w:pPr>
              <w:spacing w:after="0"/>
              <w:rPr>
                <w:sz w:val="16"/>
                <w:szCs w:val="16"/>
                <w:color w:val="auto"/>
              </w:rPr>
            </w:pPr>
          </w:p>
        </w:tc>
        <w:tc>
          <w:tcPr>
            <w:tcW w:w="72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16"/>
                <w:szCs w:val="16"/>
                <w:color w:val="auto"/>
              </w:rPr>
            </w:pPr>
          </w:p>
        </w:tc>
        <w:tc>
          <w:tcPr>
            <w:tcW w:w="13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Base Year Index</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gridSpan w:val="2"/>
          </w:tcPr>
          <w:p>
            <w:pPr>
              <w:jc w:val="right"/>
              <w:ind w:right="544"/>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(CPI):</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00" w:type="dxa"/>
            <w:vAlign w:val="bottom"/>
            <w:gridSpan w:val="5"/>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Buyer Furnished Equipment (BFE) Estimate:</w:t>
            </w:r>
          </w:p>
        </w:tc>
        <w:tc>
          <w:tcPr>
            <w:tcW w:w="980" w:type="dxa"/>
            <w:vAlign w:val="bottom"/>
          </w:tcPr>
          <w:p>
            <w:pPr>
              <w:spacing w:after="0"/>
              <w:rPr>
                <w:sz w:val="17"/>
                <w:szCs w:val="17"/>
                <w:color w:val="auto"/>
              </w:rPr>
            </w:pPr>
          </w:p>
        </w:tc>
        <w:tc>
          <w:tcPr>
            <w:tcW w:w="7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17"/>
                <w:szCs w:val="17"/>
                <w:color w:val="auto"/>
              </w:rPr>
            </w:pPr>
          </w:p>
        </w:tc>
        <w:tc>
          <w:tcPr>
            <w:tcW w:w="9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Engine ***</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3</w:t>
            </w:r>
          </w:p>
        </w:tc>
        <w:tc>
          <w:tcPr>
            <w:tcW w:w="1160" w:type="dxa"/>
            <w:vAlign w:val="bottom"/>
          </w:tcPr>
          <w:p>
            <w:pPr>
              <w:spacing w:after="0"/>
              <w:rPr>
                <w:sz w:val="13"/>
                <w:szCs w:val="13"/>
                <w:color w:val="auto"/>
              </w:rPr>
            </w:pPr>
          </w:p>
        </w:tc>
        <w:tc>
          <w:tcPr>
            <w:tcW w:w="84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Data:</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Seller Purchased</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 (SPE)</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4</w:t>
            </w:r>
          </w:p>
        </w:tc>
        <w:tc>
          <w:tcPr>
            <w:tcW w:w="116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(ECI):</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20" w:type="dxa"/>
            <w:vAlign w:val="bottom"/>
            <w:gridSpan w:val="3"/>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Deposit per Aircraft:</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gridSpan w:val="4"/>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Base Year Index</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gridSpan w:val="2"/>
          </w:tcPr>
          <w:p>
            <w:pPr>
              <w:jc w:val="right"/>
              <w:ind w:right="544"/>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(CPI):</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20" w:type="dxa"/>
            <w:vAlign w:val="bottom"/>
            <w:tcBorders>
              <w:left w:val="single" w:sz="8" w:color="auto"/>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10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40" w:type="dxa"/>
            <w:vAlign w:val="bottom"/>
            <w:tcBorders>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 (Amts. Due/*** Prior to Delivery):</w:t>
            </w:r>
          </w:p>
        </w:tc>
        <w:tc>
          <w:tcPr>
            <w:tcW w:w="0" w:type="dxa"/>
            <w:vAlign w:val="bottom"/>
          </w:tcPr>
          <w:p>
            <w:pPr>
              <w:spacing w:after="0"/>
              <w:rPr>
                <w:sz w:val="1"/>
                <w:szCs w:val="1"/>
                <w:color w:val="auto"/>
              </w:rPr>
            </w:pPr>
          </w:p>
        </w:tc>
      </w:tr>
      <w:tr>
        <w:trPr>
          <w:trHeight w:val="160"/>
        </w:trPr>
        <w:tc>
          <w:tcPr>
            <w:tcW w:w="720" w:type="dxa"/>
            <w:vAlign w:val="bottom"/>
            <w:tcBorders>
              <w:left w:val="single" w:sz="8" w:color="auto"/>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5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Manufacturer</w:t>
            </w:r>
          </w:p>
        </w:tc>
        <w:tc>
          <w:tcPr>
            <w:tcW w:w="940" w:type="dxa"/>
            <w:vAlign w:val="bottom"/>
            <w:tcBorders>
              <w:right w:val="single" w:sz="8" w:color="auto"/>
            </w:tcBorders>
            <w:gridSpan w:val="3"/>
          </w:tcPr>
          <w:p>
            <w:pPr>
              <w:jc w:val="center"/>
              <w:ind w:right="20"/>
              <w:spacing w:after="0" w:line="160" w:lineRule="exact"/>
              <w:rPr>
                <w:sz w:val="20"/>
                <w:szCs w:val="20"/>
                <w:color w:val="auto"/>
              </w:rPr>
            </w:pPr>
            <w:r>
              <w:rPr>
                <w:rFonts w:ascii="Times New Roman" w:cs="Times New Roman" w:eastAsia="Times New Roman" w:hAnsi="Times New Roman"/>
                <w:sz w:val="18"/>
                <w:szCs w:val="18"/>
                <w:b w:val="1"/>
                <w:bCs w:val="1"/>
                <w:color w:val="auto"/>
                <w:w w:val="99"/>
              </w:rPr>
              <w:t>Estimate</w:t>
            </w: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3"/>
                <w:szCs w:val="13"/>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3"/>
                <w:szCs w:val="13"/>
                <w:color w:val="auto"/>
              </w:rPr>
            </w:pPr>
          </w:p>
        </w:tc>
        <w:tc>
          <w:tcPr>
            <w:tcW w:w="1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4"/>
        </w:trPr>
        <w:tc>
          <w:tcPr>
            <w:tcW w:w="72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5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940" w:type="dxa"/>
            <w:vAlign w:val="bottom"/>
            <w:tcBorders>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b w:val="1"/>
                <w:bCs w:val="1"/>
                <w:color w:val="auto"/>
              </w:rPr>
              <w:t>*** Base</w:t>
            </w:r>
          </w:p>
        </w:tc>
        <w:tc>
          <w:tcPr>
            <w:tcW w:w="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720" w:type="dxa"/>
            <w:vAlign w:val="bottom"/>
            <w:tcBorders>
              <w:left w:val="single" w:sz="8" w:color="auto"/>
              <w:right w:val="single" w:sz="8" w:color="auto"/>
            </w:tcBorders>
            <w:vMerge w:val="restart"/>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56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Delivery</w:t>
            </w:r>
          </w:p>
        </w:tc>
        <w:tc>
          <w:tcPr>
            <w:tcW w:w="56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 Factor</w:t>
            </w:r>
          </w:p>
        </w:tc>
        <w:tc>
          <w:tcPr>
            <w:tcW w:w="98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 Factor</w:t>
            </w:r>
          </w:p>
        </w:tc>
        <w:tc>
          <w:tcPr>
            <w:tcW w:w="720" w:type="dxa"/>
            <w:vAlign w:val="bottom"/>
            <w:tcBorders>
              <w:right w:val="single" w:sz="8" w:color="auto"/>
            </w:tcBorders>
            <w:vMerge w:val="restart"/>
          </w:tcPr>
          <w:p>
            <w:pPr>
              <w:jc w:val="right"/>
              <w:ind w:right="139"/>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Serial</w:t>
            </w:r>
          </w:p>
        </w:tc>
        <w:tc>
          <w:tcPr>
            <w:tcW w:w="940" w:type="dxa"/>
            <w:vAlign w:val="bottom"/>
            <w:tcBorders>
              <w:right w:val="single" w:sz="8" w:color="auto"/>
            </w:tcBorders>
            <w:gridSpan w:val="3"/>
            <w:vMerge w:val="restart"/>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rPr>
              <w:t>Price Per</w:t>
            </w: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720" w:type="dxa"/>
            <w:vAlign w:val="bottom"/>
            <w:tcBorders>
              <w:left w:val="single" w:sz="8" w:color="auto"/>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ind w:left="200"/>
              <w:spacing w:after="0" w:line="119" w:lineRule="exact"/>
              <w:rPr>
                <w:sz w:val="20"/>
                <w:szCs w:val="20"/>
                <w:color w:val="auto"/>
              </w:rPr>
            </w:pPr>
            <w:r>
              <w:rPr>
                <w:rFonts w:ascii="Times New Roman" w:cs="Times New Roman" w:eastAsia="Times New Roman" w:hAnsi="Times New Roman"/>
                <w:sz w:val="13"/>
                <w:szCs w:val="13"/>
                <w:b w:val="1"/>
                <w:bCs w:val="1"/>
                <w:color w:val="auto"/>
              </w:rPr>
              <w:t>of</w:t>
            </w:r>
          </w:p>
        </w:tc>
        <w:tc>
          <w:tcPr>
            <w:tcW w:w="102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gridSpan w:val="3"/>
            <w:vMerge w:val="continue"/>
          </w:tcPr>
          <w:p>
            <w:pPr>
              <w:spacing w:after="0"/>
              <w:rPr>
                <w:sz w:val="10"/>
                <w:szCs w:val="10"/>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000000"/>
          </w:tcPr>
          <w:p>
            <w:pPr>
              <w:spacing w:after="0"/>
              <w:rPr>
                <w:sz w:val="10"/>
                <w:szCs w:val="10"/>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000000"/>
          </w:tcPr>
          <w:p>
            <w:pPr>
              <w:spacing w:after="0"/>
              <w:rPr>
                <w:sz w:val="10"/>
                <w:szCs w:val="10"/>
                <w:color w:val="auto"/>
              </w:rPr>
            </w:pPr>
          </w:p>
        </w:tc>
        <w:tc>
          <w:tcPr>
            <w:tcW w:w="1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35"/>
        </w:trPr>
        <w:tc>
          <w:tcPr>
            <w:tcW w:w="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560" w:type="dxa"/>
            <w:vAlign w:val="bottom"/>
            <w:tcBorders>
              <w:right w:val="single" w:sz="8" w:color="auto"/>
            </w:tcBorders>
            <w:vMerge w:val="restart"/>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right w:val="single" w:sz="8" w:color="auto"/>
            </w:tcBorders>
            <w:vMerge w:val="restart"/>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(Airframe)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(Engine)</w:t>
            </w:r>
          </w:p>
        </w:tc>
        <w:tc>
          <w:tcPr>
            <w:tcW w:w="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Forecast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w:t>
            </w:r>
          </w:p>
        </w:tc>
        <w:tc>
          <w:tcPr>
            <w:tcW w:w="3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vMerge w:val="continue"/>
          </w:tcPr>
          <w:p>
            <w:pPr>
              <w:spacing w:after="0"/>
              <w:rPr>
                <w:sz w:val="8"/>
                <w:szCs w:val="8"/>
                <w:color w:val="auto"/>
              </w:rPr>
            </w:pPr>
          </w:p>
        </w:tc>
        <w:tc>
          <w:tcPr>
            <w:tcW w:w="740" w:type="dxa"/>
            <w:vAlign w:val="bottom"/>
            <w:tcBorders>
              <w:bottom w:val="single" w:sz="8" w:color="auto"/>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vMerge w:val="continue"/>
          </w:tcPr>
          <w:p>
            <w:pPr>
              <w:spacing w:after="0"/>
              <w:rPr>
                <w:sz w:val="8"/>
                <w:szCs w:val="8"/>
                <w:color w:val="auto"/>
              </w:rPr>
            </w:pPr>
          </w:p>
        </w:tc>
        <w:tc>
          <w:tcPr>
            <w:tcW w:w="1020" w:type="dxa"/>
            <w:vAlign w:val="bottom"/>
            <w:tcBorders>
              <w:bottom w:val="single" w:sz="8" w:color="auto"/>
              <w:right w:val="single" w:sz="8" w:color="auto"/>
            </w:tcBorders>
            <w:vMerge w:val="continue"/>
          </w:tcPr>
          <w:p>
            <w:pPr>
              <w:spacing w:after="0"/>
              <w:rPr>
                <w:sz w:val="8"/>
                <w:szCs w:val="8"/>
                <w:color w:val="auto"/>
              </w:rPr>
            </w:pPr>
          </w:p>
        </w:tc>
        <w:tc>
          <w:tcPr>
            <w:tcW w:w="980" w:type="dxa"/>
            <w:vAlign w:val="bottom"/>
            <w:tcBorders>
              <w:bottom w:val="single" w:sz="8" w:color="auto"/>
              <w:right w:val="single" w:sz="8" w:color="auto"/>
            </w:tcBorders>
            <w:vMerge w:val="continue"/>
          </w:tcPr>
          <w:p>
            <w:pPr>
              <w:spacing w:after="0"/>
              <w:rPr>
                <w:sz w:val="8"/>
                <w:szCs w:val="8"/>
                <w:color w:val="auto"/>
              </w:rPr>
            </w:pPr>
          </w:p>
        </w:tc>
        <w:tc>
          <w:tcPr>
            <w:tcW w:w="720" w:type="dxa"/>
            <w:vAlign w:val="bottom"/>
            <w:tcBorders>
              <w:bottom w:val="single" w:sz="8" w:color="auto"/>
              <w:right w:val="single" w:sz="8" w:color="auto"/>
            </w:tcBorders>
            <w:vMerge w:val="continue"/>
          </w:tcPr>
          <w:p>
            <w:pPr>
              <w:spacing w:after="0"/>
              <w:rPr>
                <w:sz w:val="8"/>
                <w:szCs w:val="8"/>
                <w:color w:val="auto"/>
              </w:rPr>
            </w:pPr>
          </w:p>
        </w:tc>
        <w:tc>
          <w:tcPr>
            <w:tcW w:w="1160" w:type="dxa"/>
            <w:vAlign w:val="bottom"/>
            <w:tcBorders>
              <w:bottom w:val="single" w:sz="8" w:color="auto"/>
              <w:right w:val="single" w:sz="8" w:color="auto"/>
            </w:tcBorders>
            <w:vMerge w:val="continue"/>
          </w:tcPr>
          <w:p>
            <w:pPr>
              <w:spacing w:after="0"/>
              <w:rPr>
                <w:sz w:val="8"/>
                <w:szCs w:val="8"/>
                <w:color w:val="auto"/>
              </w:rPr>
            </w:pPr>
          </w:p>
        </w:tc>
        <w:tc>
          <w:tcPr>
            <w:tcW w:w="940" w:type="dxa"/>
            <w:vAlign w:val="bottom"/>
            <w:tcBorders>
              <w:bottom w:val="single" w:sz="8" w:color="auto"/>
              <w:right w:val="single" w:sz="8" w:color="auto"/>
            </w:tcBorders>
            <w:gridSpan w:val="3"/>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w:t>
            </w:r>
          </w:p>
        </w:tc>
        <w:tc>
          <w:tcPr>
            <w:tcW w:w="560" w:type="dxa"/>
            <w:vAlign w:val="bottom"/>
            <w:tcBorders>
              <w:bottom w:val="single" w:sz="8" w:color="auto"/>
              <w:right w:val="single" w:sz="8" w:color="auto"/>
            </w:tcBorders>
          </w:tcPr>
          <w:p>
            <w:pPr>
              <w:jc w:val="right"/>
              <w:ind w:right="118"/>
              <w:spacing w:after="0"/>
              <w:rPr>
                <w:sz w:val="20"/>
                <w:szCs w:val="20"/>
                <w:color w:val="auto"/>
              </w:rPr>
            </w:pPr>
            <w:r>
              <w:rPr>
                <w:rFonts w:ascii="Times New Roman" w:cs="Times New Roman" w:eastAsia="Times New Roman" w:hAnsi="Times New Roman"/>
                <w:sz w:val="22"/>
                <w:szCs w:val="22"/>
                <w:b w:val="1"/>
                <w:bCs w:val="1"/>
                <w:color w:val="auto"/>
                <w:w w:val="96"/>
              </w:rPr>
              <w:t>***</w:t>
            </w:r>
          </w:p>
        </w:tc>
        <w:tc>
          <w:tcPr>
            <w:tcW w:w="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1020" w:type="dxa"/>
            <w:vAlign w:val="bottom"/>
            <w:tcBorders>
              <w:bottom w:val="single" w:sz="8" w:color="auto"/>
              <w:right w:val="single" w:sz="8" w:color="auto"/>
            </w:tcBorders>
          </w:tcPr>
          <w:p>
            <w:pPr>
              <w:jc w:val="right"/>
              <w:ind w:right="587"/>
              <w:spacing w:after="0"/>
              <w:rPr>
                <w:sz w:val="20"/>
                <w:szCs w:val="20"/>
                <w:color w:val="auto"/>
              </w:rPr>
            </w:pPr>
            <w:r>
              <w:rPr>
                <w:rFonts w:ascii="Times New Roman" w:cs="Times New Roman" w:eastAsia="Times New Roman" w:hAnsi="Times New Roman"/>
                <w:sz w:val="22"/>
                <w:szCs w:val="22"/>
                <w:b w:val="1"/>
                <w:bCs w:val="1"/>
                <w:color w:val="auto"/>
                <w:w w:val="96"/>
              </w:rPr>
              <w: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1160" w:type="dxa"/>
            <w:vAlign w:val="bottom"/>
            <w:tcBorders>
              <w:bottom w:val="single" w:sz="8" w:color="auto"/>
              <w:right w:val="single" w:sz="8" w:color="auto"/>
            </w:tcBorders>
          </w:tcPr>
          <w:p>
            <w:pPr>
              <w:jc w:val="right"/>
              <w:ind w:right="726"/>
              <w:spacing w:after="0"/>
              <w:rPr>
                <w:sz w:val="20"/>
                <w:szCs w:val="20"/>
                <w:color w:val="auto"/>
              </w:rPr>
            </w:pPr>
            <w:r>
              <w:rPr>
                <w:rFonts w:ascii="Times New Roman" w:cs="Times New Roman" w:eastAsia="Times New Roman" w:hAnsi="Times New Roman"/>
                <w:sz w:val="22"/>
                <w:szCs w:val="22"/>
                <w:b w:val="1"/>
                <w:bCs w:val="1"/>
                <w:color w:val="auto"/>
                <w:w w:val="96"/>
              </w:rPr>
              <w:t>***</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Borders>
              <w:bottom w:val="single" w:sz="8" w:color="auto"/>
            </w:tcBorders>
            <w:shd w:val="clear" w:color="auto" w:fill="000000"/>
          </w:tcPr>
          <w:p>
            <w:pPr>
              <w:spacing w:after="0"/>
              <w:rPr>
                <w:sz w:val="22"/>
                <w:szCs w:val="22"/>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Borders>
              <w:bottom w:val="single" w:sz="8" w:color="auto"/>
            </w:tcBorders>
            <w:shd w:val="clear" w:color="auto" w:fill="000000"/>
          </w:tcPr>
          <w:p>
            <w:pPr>
              <w:spacing w:after="0"/>
              <w:rPr>
                <w:sz w:val="22"/>
                <w:szCs w:val="22"/>
                <w:color w:val="auto"/>
              </w:rPr>
            </w:pP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76"/>
        </w:trPr>
        <w:tc>
          <w:tcPr>
            <w:tcW w:w="720" w:type="dxa"/>
            <w:vAlign w:val="bottom"/>
          </w:tcPr>
          <w:p>
            <w:pPr>
              <w:spacing w:after="0"/>
              <w:rPr>
                <w:sz w:val="24"/>
                <w:szCs w:val="24"/>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54"/>
        <w:spacing w:after="0"/>
        <w:tabs>
          <w:tab w:leader="none" w:pos="18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p>
    <w:p>
      <w:pPr>
        <w:spacing w:after="0" w:line="6" w:lineRule="exact"/>
        <w:rPr>
          <w:rFonts w:ascii="Times New Roman" w:cs="Times New Roman" w:eastAsia="Times New Roman" w:hAnsi="Times New Roman"/>
          <w:sz w:val="20"/>
          <w:szCs w:val="20"/>
          <w:b w:val="1"/>
          <w:bCs w:val="1"/>
          <w:color w:val="auto"/>
        </w:rPr>
      </w:pPr>
    </w:p>
    <w:p>
      <w:pPr>
        <w:ind w:left="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 ***</w:t>
      </w:r>
    </w:p>
    <w:p>
      <w:pPr>
        <w:spacing w:after="0" w:line="26" w:lineRule="exact"/>
        <w:rPr>
          <w:rFonts w:ascii="Times New Roman" w:cs="Times New Roman" w:eastAsia="Times New Roman" w:hAnsi="Times New Roman"/>
          <w:sz w:val="20"/>
          <w:szCs w:val="20"/>
          <w:b w:val="1"/>
          <w:bCs w:val="1"/>
          <w:color w:val="auto"/>
        </w:rPr>
      </w:pPr>
    </w:p>
    <w:p>
      <w:pPr>
        <w:ind w:left="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3 ***</w:t>
      </w:r>
    </w:p>
    <w:p>
      <w:pPr>
        <w:spacing w:after="0" w:line="26" w:lineRule="exact"/>
        <w:rPr>
          <w:rFonts w:ascii="Times New Roman" w:cs="Times New Roman" w:eastAsia="Times New Roman" w:hAnsi="Times New Roman"/>
          <w:sz w:val="20"/>
          <w:szCs w:val="20"/>
          <w:b w:val="1"/>
          <w:bCs w:val="1"/>
          <w:color w:val="auto"/>
        </w:rPr>
      </w:pPr>
    </w:p>
    <w:p>
      <w:pPr>
        <w:ind w:left="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4 ***</w:t>
      </w:r>
    </w:p>
    <w:p>
      <w:pPr>
        <w:spacing w:after="0" w:line="19" w:lineRule="exact"/>
        <w:rPr>
          <w:sz w:val="20"/>
          <w:szCs w:val="20"/>
          <w:color w:val="auto"/>
        </w:rPr>
      </w:pPr>
    </w:p>
    <w:p>
      <w:pPr>
        <w:ind w:left="280" w:hanging="254"/>
        <w:spacing w:after="0"/>
        <w:tabs>
          <w:tab w:leader="none" w:pos="28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Manufacturer Serial Numbers identified above</w:t>
      </w:r>
    </w:p>
    <w:p>
      <w:pPr>
        <w:ind w:left="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p>
    <w:p>
      <w:pPr>
        <w:ind w:left="20"/>
        <w:spacing w:after="0" w:line="224" w:lineRule="auto"/>
        <w:rPr>
          <w:sz w:val="20"/>
          <w:szCs w:val="20"/>
          <w:color w:val="auto"/>
        </w:rPr>
      </w:pPr>
      <w:r>
        <w:rPr>
          <w:rFonts w:ascii="Times New Roman" w:cs="Times New Roman" w:eastAsia="Times New Roman" w:hAnsi="Times New Roman"/>
          <w:sz w:val="20"/>
          <w:szCs w:val="20"/>
          <w:b w:val="1"/>
          <w:bCs w:val="1"/>
          <w:color w:val="auto"/>
        </w:rPr>
        <w:t>Note: The *** Aircraft with *** in the MSN column denote that the Aircraft is an Aircraft resulting from *** in an *** Aircraft.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MSN will be provided after execution of SA-15 to the Purchase Agreement.</w:t>
      </w:r>
    </w:p>
    <w:p>
      <w:pPr>
        <w:spacing w:after="0" w:line="6" w:lineRule="exact"/>
        <w:rPr>
          <w:sz w:val="20"/>
          <w:szCs w:val="20"/>
          <w:color w:val="auto"/>
        </w:rPr>
      </w:pPr>
    </w:p>
    <w:p>
      <w:pPr>
        <w:ind w:left="180" w:hanging="154"/>
        <w:spacing w:after="0"/>
        <w:tabs>
          <w:tab w:leader="none" w:pos="18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Aircraft in this Table 1 shown in a row with *** that such Aircraft is a *** Scheduled Delivery *** Aircraft. - Accordingly, ***</w:t>
      </w:r>
    </w:p>
    <w:p>
      <w:pPr>
        <w:spacing w:after="0" w:line="13" w:lineRule="exact"/>
        <w:rPr>
          <w:rFonts w:ascii="Times New Roman" w:cs="Times New Roman" w:eastAsia="Times New Roman" w:hAnsi="Times New Roman"/>
          <w:sz w:val="20"/>
          <w:szCs w:val="20"/>
          <w:b w:val="1"/>
          <w:bCs w:val="1"/>
          <w:color w:val="auto"/>
        </w:rPr>
      </w:pPr>
    </w:p>
    <w:p>
      <w:pPr>
        <w:ind w:left="180" w:hanging="154"/>
        <w:spacing w:after="0" w:line="232" w:lineRule="auto"/>
        <w:tabs>
          <w:tab w:leader="none" w:pos="18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 each Aircraft with a Contract Delivery *** that is ***:</w:t>
      </w:r>
    </w:p>
    <w:p>
      <w:pPr>
        <w:ind w:left="20"/>
        <w:spacing w:after="0"/>
        <w:rPr>
          <w:sz w:val="20"/>
          <w:szCs w:val="20"/>
          <w:color w:val="auto"/>
        </w:rPr>
      </w:pPr>
      <w:r>
        <w:rPr>
          <w:rFonts w:ascii="Times New Roman" w:cs="Times New Roman" w:eastAsia="Times New Roman" w:hAnsi="Times New Roman"/>
          <w:sz w:val="20"/>
          <w:szCs w:val="20"/>
          <w:b w:val="1"/>
          <w:bCs w:val="1"/>
          <w:color w:val="auto"/>
        </w:rPr>
        <w:t>The of *** a *** Contract Delivery *** used *** Base Price.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Complete Schedule of *** Scheduled Delivery *** Aircraft is as follows:</w:t>
      </w:r>
    </w:p>
    <w:tbl>
      <w:tblPr>
        <w:tblLayout w:type="fixed"/>
        <w:tblInd w:w="20" w:type="dxa"/>
        <w:tblCellMar>
          <w:top w:w="0" w:type="dxa"/>
          <w:left w:w="0" w:type="dxa"/>
          <w:bottom w:w="0" w:type="dxa"/>
          <w:right w:w="0" w:type="dxa"/>
        </w:tblCellMar>
      </w:tblPr>
      <w:tr>
        <w:trPr>
          <w:trHeight w:val="210"/>
        </w:trPr>
        <w:tc>
          <w:tcPr>
            <w:tcW w:w="444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The Aircraft in the Table 1 for 1st *** 787-*** are</w:t>
            </w:r>
          </w:p>
        </w:tc>
        <w:tc>
          <w:tcPr>
            <w:tcW w:w="620" w:type="dxa"/>
            <w:vAlign w:val="bottom"/>
          </w:tcPr>
          <w:p>
            <w:pPr>
              <w:jc w:val="right"/>
              <w:ind w:right="101"/>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ind w:left="220"/>
              <w:spacing w:after="0" w:line="209" w:lineRule="exact"/>
              <w:rPr>
                <w:sz w:val="20"/>
                <w:szCs w:val="20"/>
                <w:color w:val="auto"/>
              </w:rPr>
            </w:pPr>
            <w:r>
              <w:rPr>
                <w:rFonts w:ascii="Times New Roman" w:cs="Times New Roman" w:eastAsia="Times New Roman" w:hAnsi="Times New Roman"/>
                <w:sz w:val="20"/>
                <w:szCs w:val="20"/>
                <w:b w:val="1"/>
                <w:bCs w:val="1"/>
                <w:color w:val="auto"/>
              </w:rPr>
              <w:t>through</w:t>
            </w:r>
          </w:p>
        </w:tc>
        <w:tc>
          <w:tcPr>
            <w:tcW w:w="860" w:type="dxa"/>
            <w:vAlign w:val="bottom"/>
          </w:tcPr>
          <w:p>
            <w:pPr>
              <w:jc w:val="right"/>
              <w:ind w:right="241"/>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3960" w:type="dxa"/>
            <w:vAlign w:val="bottom"/>
          </w:tcPr>
          <w:p>
            <w:pPr>
              <w:ind w:left="320"/>
              <w:spacing w:after="0" w:line="209" w:lineRule="exact"/>
              <w:rPr>
                <w:sz w:val="20"/>
                <w:szCs w:val="20"/>
                <w:color w:val="auto"/>
              </w:rPr>
            </w:pPr>
            <w:r>
              <w:rPr>
                <w:rFonts w:ascii="Times New Roman" w:cs="Times New Roman" w:eastAsia="Times New Roman" w:hAnsi="Times New Roman"/>
                <w:sz w:val="20"/>
                <w:szCs w:val="20"/>
                <w:b w:val="1"/>
                <w:bCs w:val="1"/>
                <w:color w:val="auto"/>
                <w:w w:val="98"/>
              </w:rPr>
              <w:t>of the *** Scheduled Delivery *** Aircraft.</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Aircraft #</w:t>
            </w: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The Aircraft in LA-1802897R4 Attachment A-1 are</w:t>
            </w:r>
          </w:p>
        </w:tc>
        <w:tc>
          <w:tcPr>
            <w:tcW w:w="620" w:type="dxa"/>
            <w:vAlign w:val="bottom"/>
          </w:tcPr>
          <w:p>
            <w:pPr>
              <w:jc w:val="right"/>
              <w:ind w:right="101"/>
              <w:spacing w:after="0" w:line="203" w:lineRule="exact"/>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b w:val="1"/>
                <w:bCs w:val="1"/>
                <w:color w:val="auto"/>
              </w:rPr>
              <w:t>through</w:t>
            </w:r>
          </w:p>
        </w:tc>
        <w:tc>
          <w:tcPr>
            <w:tcW w:w="860" w:type="dxa"/>
            <w:vAlign w:val="bottom"/>
          </w:tcPr>
          <w:p>
            <w:pPr>
              <w:jc w:val="right"/>
              <w:ind w:right="241"/>
              <w:spacing w:after="0" w:line="203" w:lineRule="exact"/>
              <w:rPr>
                <w:sz w:val="20"/>
                <w:szCs w:val="20"/>
                <w:color w:val="auto"/>
              </w:rPr>
            </w:pPr>
            <w:r>
              <w:rPr>
                <w:rFonts w:ascii="Times New Roman" w:cs="Times New Roman" w:eastAsia="Times New Roman" w:hAnsi="Times New Roman"/>
                <w:sz w:val="20"/>
                <w:szCs w:val="20"/>
                <w:b w:val="1"/>
                <w:bCs w:val="1"/>
                <w:color w:val="auto"/>
              </w:rPr>
              <w:t>***</w:t>
            </w:r>
          </w:p>
        </w:tc>
        <w:tc>
          <w:tcPr>
            <w:tcW w:w="396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of the *** Scheduled Delivery *** Aircraft.</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Aircraft #</w:t>
            </w: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The Aircraft in this Table 1 for the *** 787-*** are</w:t>
            </w:r>
          </w:p>
        </w:tc>
        <w:tc>
          <w:tcPr>
            <w:tcW w:w="620" w:type="dxa"/>
            <w:vAlign w:val="bottom"/>
          </w:tcPr>
          <w:p>
            <w:pPr>
              <w:jc w:val="right"/>
              <w:ind w:right="101"/>
              <w:spacing w:after="0" w:line="203" w:lineRule="exact"/>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ind w:left="220"/>
              <w:spacing w:after="0" w:line="203" w:lineRule="exact"/>
              <w:rPr>
                <w:sz w:val="20"/>
                <w:szCs w:val="20"/>
                <w:color w:val="auto"/>
              </w:rPr>
            </w:pPr>
            <w:r>
              <w:rPr>
                <w:rFonts w:ascii="Times New Roman" w:cs="Times New Roman" w:eastAsia="Times New Roman" w:hAnsi="Times New Roman"/>
                <w:sz w:val="20"/>
                <w:szCs w:val="20"/>
                <w:b w:val="1"/>
                <w:bCs w:val="1"/>
                <w:color w:val="auto"/>
              </w:rPr>
              <w:t>through</w:t>
            </w:r>
          </w:p>
        </w:tc>
        <w:tc>
          <w:tcPr>
            <w:tcW w:w="860" w:type="dxa"/>
            <w:vAlign w:val="bottom"/>
          </w:tcPr>
          <w:p>
            <w:pPr>
              <w:jc w:val="right"/>
              <w:ind w:right="241"/>
              <w:spacing w:after="0" w:line="203" w:lineRule="exact"/>
              <w:rPr>
                <w:sz w:val="20"/>
                <w:szCs w:val="20"/>
                <w:color w:val="auto"/>
              </w:rPr>
            </w:pPr>
            <w:r>
              <w:rPr>
                <w:rFonts w:ascii="Times New Roman" w:cs="Times New Roman" w:eastAsia="Times New Roman" w:hAnsi="Times New Roman"/>
                <w:sz w:val="20"/>
                <w:szCs w:val="20"/>
                <w:b w:val="1"/>
                <w:bCs w:val="1"/>
                <w:color w:val="auto"/>
              </w:rPr>
              <w:t>***</w:t>
            </w:r>
          </w:p>
        </w:tc>
        <w:tc>
          <w:tcPr>
            <w:tcW w:w="396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of the *** Scheduled Delivery *** Aircraft.</w:t>
            </w:r>
          </w:p>
        </w:tc>
        <w:tc>
          <w:tcPr>
            <w:tcW w:w="0" w:type="dxa"/>
            <w:vAlign w:val="bottom"/>
          </w:tcPr>
          <w:p>
            <w:pPr>
              <w:spacing w:after="0"/>
              <w:rPr>
                <w:sz w:val="1"/>
                <w:szCs w:val="1"/>
                <w:color w:val="auto"/>
              </w:rPr>
            </w:pPr>
          </w:p>
        </w:tc>
      </w:tr>
      <w:tr>
        <w:trPr>
          <w:trHeight w:val="262"/>
        </w:trPr>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Aircraft #</w:t>
            </w:r>
          </w:p>
        </w:tc>
        <w:tc>
          <w:tcPr>
            <w:tcW w:w="6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through</w:t>
            </w:r>
          </w:p>
        </w:tc>
        <w:tc>
          <w:tcPr>
            <w:tcW w:w="860" w:type="dxa"/>
            <w:vAlign w:val="bottom"/>
            <w:vMerge w:val="restart"/>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w:t>
            </w:r>
          </w:p>
        </w:tc>
        <w:tc>
          <w:tcPr>
            <w:tcW w:w="396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w w:val="98"/>
              </w:rPr>
              <w:t>of the *** Scheduled Delivery *** Aircraft.</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20" w:right="500"/>
        <w:spacing w:after="0" w:line="239" w:lineRule="auto"/>
        <w:rPr>
          <w:sz w:val="20"/>
          <w:szCs w:val="20"/>
          <w:color w:val="auto"/>
        </w:rPr>
      </w:pPr>
      <w:r>
        <w:rPr>
          <w:rFonts w:ascii="Times New Roman" w:cs="Times New Roman" w:eastAsia="Times New Roman" w:hAnsi="Times New Roman"/>
          <w:sz w:val="20"/>
          <w:szCs w:val="20"/>
          <w:b w:val="1"/>
          <w:bCs w:val="1"/>
          <w:color w:val="auto"/>
        </w:rPr>
        <w:t>This *** 787-*** Aircraft Table 1 reflects that the *** configuration is *** 787-*** Aircraft due to *** Configuration is not yet complete at time of execution of SA-15 to the Purchase Agreement.</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UAL-PA-04815</w:t>
      </w:r>
    </w:p>
    <w:p>
      <w:pPr>
        <w:ind w:left="20"/>
        <w:spacing w:after="0"/>
        <w:tabs>
          <w:tab w:leader="none" w:pos="4840" w:val="left"/>
          <w:tab w:leader="none" w:pos="8860" w:val="left"/>
        </w:tabs>
        <w:rPr>
          <w:sz w:val="20"/>
          <w:szCs w:val="20"/>
          <w:color w:val="auto"/>
        </w:rPr>
      </w:pPr>
      <w:r>
        <w:rPr>
          <w:rFonts w:ascii="Times New Roman" w:cs="Times New Roman" w:eastAsia="Times New Roman" w:hAnsi="Times New Roman"/>
          <w:sz w:val="18"/>
          <w:szCs w:val="18"/>
          <w:b w:val="1"/>
          <w:bCs w:val="1"/>
          <w:color w:val="auto"/>
        </w:rPr>
        <w:t>APR 125312 - *** 787-*** Aircraft</w:t>
      </w:r>
      <w:r>
        <w:rPr>
          <w:sz w:val="20"/>
          <w:szCs w:val="20"/>
          <w:color w:val="auto"/>
        </w:rPr>
        <w:tab/>
      </w:r>
      <w:r>
        <w:rPr>
          <w:rFonts w:ascii="Times New Roman" w:cs="Times New Roman" w:eastAsia="Times New Roman" w:hAnsi="Times New Roman"/>
          <w:sz w:val="18"/>
          <w:szCs w:val="18"/>
          <w:b w:val="1"/>
          <w:bCs w:val="1"/>
          <w:color w:val="auto"/>
        </w:rPr>
        <w:t>Boeing Proprietary</w:t>
      </w:r>
      <w:r>
        <w:rPr>
          <w:sz w:val="20"/>
          <w:szCs w:val="20"/>
          <w:color w:val="auto"/>
        </w:rPr>
        <w:tab/>
      </w:r>
      <w:r>
        <w:rPr>
          <w:rFonts w:ascii="Times New Roman" w:cs="Times New Roman" w:eastAsia="Times New Roman" w:hAnsi="Times New Roman"/>
          <w:sz w:val="17"/>
          <w:szCs w:val="17"/>
          <w:color w:val="auto"/>
        </w:rPr>
        <w:t xml:space="preserve">787-*** Table 1: </w:t>
      </w:r>
      <w:r>
        <w:rPr>
          <w:rFonts w:ascii="Times New Roman" w:cs="Times New Roman" w:eastAsia="Times New Roman" w:hAnsi="Times New Roman"/>
          <w:sz w:val="17"/>
          <w:szCs w:val="17"/>
          <w:b w:val="1"/>
          <w:bCs w:val="1"/>
          <w:color w:val="auto"/>
        </w:rPr>
        <w:t>SA-15</w:t>
      </w:r>
      <w:r>
        <w:rPr>
          <w:rFonts w:ascii="Times New Roman" w:cs="Times New Roman" w:eastAsia="Times New Roman" w:hAnsi="Times New Roman"/>
          <w:sz w:val="17"/>
          <w:szCs w:val="17"/>
          <w:color w:val="auto"/>
        </w:rPr>
        <w:t>, Page 1</w:t>
      </w:r>
    </w:p>
    <w:p>
      <w:pPr>
        <w:sectPr>
          <w:pgSz w:w="11900" w:h="16838" w:orient="portrait"/>
          <w:cols w:equalWidth="0" w:num="1">
            <w:col w:w="11200"/>
          </w:cols>
          <w:pgMar w:left="320" w:top="83" w:right="379" w:bottom="1440" w:gutter="0" w:footer="0" w:header="0"/>
        </w:sectPr>
      </w:pPr>
    </w:p>
    <w:bookmarkStart w:id="154" w:name="page155"/>
    <w:bookmarkEnd w:id="154"/>
    <w:p>
      <w:pPr>
        <w:jc w:val="center"/>
        <w:ind w:left="460" w:right="1980"/>
        <w:spacing w:after="0"/>
        <w:rPr>
          <w:sz w:val="20"/>
          <w:szCs w:val="20"/>
          <w:color w:val="auto"/>
        </w:rPr>
      </w:pPr>
      <w:r>
        <w:rPr>
          <w:rFonts w:ascii="Times New Roman" w:cs="Times New Roman" w:eastAsia="Times New Roman" w:hAnsi="Times New Roman"/>
          <w:sz w:val="22"/>
          <w:szCs w:val="22"/>
          <w:b w:val="1"/>
          <w:bCs w:val="1"/>
          <w:color w:val="auto"/>
        </w:rPr>
        <w:t>Table 1 to Purchase Agreement No. 4815 ***2 787-*** Aircraft with *** Engines Delivery, Description, Price and *** (787-***)</w:t>
      </w:r>
    </w:p>
    <w:p>
      <w:pPr>
        <w:spacing w:after="0" w:line="200" w:lineRule="exact"/>
        <w:rPr>
          <w:sz w:val="20"/>
          <w:szCs w:val="20"/>
          <w:color w:val="auto"/>
        </w:rPr>
      </w:pP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Airframe Model/MTOW: 787-***</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pounds </w:t>
            </w:r>
            <w:r>
              <w:rPr>
                <w:rFonts w:ascii="Times New Roman" w:cs="Times New Roman" w:eastAsia="Times New Roman" w:hAnsi="Times New Roman"/>
                <w:sz w:val="21"/>
                <w:szCs w:val="21"/>
                <w:b w:val="1"/>
                <w:bCs w:val="1"/>
                <w:color w:val="auto"/>
              </w:rPr>
              <w:t>1</w:t>
            </w:r>
          </w:p>
        </w:tc>
        <w:tc>
          <w:tcPr>
            <w:tcW w:w="720" w:type="dxa"/>
            <w:vAlign w:val="bottom"/>
          </w:tcPr>
          <w:p>
            <w:pPr>
              <w:spacing w:after="0"/>
              <w:rPr>
                <w:sz w:val="21"/>
                <w:szCs w:val="21"/>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Aircraft Configuration</w:t>
            </w:r>
          </w:p>
        </w:tc>
        <w:tc>
          <w:tcPr>
            <w:tcW w:w="320" w:type="dxa"/>
            <w:vAlign w:val="bottom"/>
          </w:tcPr>
          <w:p>
            <w:pPr>
              <w:spacing w:after="0"/>
              <w:rPr>
                <w:sz w:val="21"/>
                <w:szCs w:val="21"/>
                <w:color w:val="auto"/>
              </w:rPr>
            </w:pPr>
          </w:p>
        </w:tc>
        <w:tc>
          <w:tcPr>
            <w:tcW w:w="1420" w:type="dxa"/>
            <w:vAlign w:val="bottom"/>
            <w:gridSpan w:val="2"/>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FFFFFF"/>
              </w:rPr>
              <w:t>August 2025</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pounds </w:t>
            </w:r>
            <w:r>
              <w:rPr>
                <w:rFonts w:ascii="Times New Roman" w:cs="Times New Roman" w:eastAsia="Times New Roman" w:hAnsi="Times New Roman"/>
                <w:sz w:val="21"/>
                <w:szCs w:val="21"/>
                <w:b w:val="1"/>
                <w:bCs w:val="1"/>
                <w:color w:val="auto"/>
              </w:rPr>
              <w:t>2</w:t>
            </w:r>
          </w:p>
        </w:tc>
        <w:tc>
          <w:tcPr>
            <w:tcW w:w="7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Specification: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FFFFFF"/>
              </w:rPr>
              <w:t>External Fcst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4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Engine Model/Thrust:</w:t>
            </w:r>
          </w:p>
        </w:tc>
        <w:tc>
          <w:tcPr>
            <w:tcW w:w="780" w:type="dxa"/>
            <w:vAlign w:val="bottom"/>
          </w:tcPr>
          <w:p>
            <w:pPr>
              <w:ind w:left="100"/>
              <w:spacing w:after="0" w:line="200" w:lineRule="exact"/>
              <w:rPr>
                <w:sz w:val="20"/>
                <w:szCs w:val="20"/>
                <w:color w:val="auto"/>
              </w:rPr>
            </w:pPr>
            <w:r>
              <w:rPr>
                <w:rFonts w:ascii="Times New Roman" w:cs="Times New Roman" w:eastAsia="Times New Roman" w:hAnsi="Times New Roman"/>
                <w:sz w:val="18"/>
                <w:szCs w:val="18"/>
                <w:b w:val="1"/>
                <w:bCs w:val="1"/>
                <w:color w:val="auto"/>
              </w:rPr>
              <w:t>***1</w:t>
            </w:r>
          </w:p>
        </w:tc>
        <w:tc>
          <w:tcPr>
            <w:tcW w:w="192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2300" w:type="dxa"/>
            <w:vAlign w:val="bottom"/>
            <w:gridSpan w:val="5"/>
          </w:tcPr>
          <w:p>
            <w:pPr>
              <w:spacing w:after="0" w:line="200" w:lineRule="exact"/>
              <w:rPr>
                <w:sz w:val="20"/>
                <w:szCs w:val="20"/>
                <w:color w:val="auto"/>
              </w:rPr>
            </w:pPr>
            <w:r>
              <w:rPr>
                <w:rFonts w:ascii="Times New Roman" w:cs="Times New Roman" w:eastAsia="Times New Roman" w:hAnsi="Times New Roman"/>
                <w:sz w:val="18"/>
                <w:szCs w:val="18"/>
                <w:b w:val="1"/>
                <w:bCs w:val="1"/>
                <w:color w:val="auto"/>
                <w:w w:val="98"/>
              </w:rPr>
              <w:t>Airframe Price Base Year/***</w:t>
            </w:r>
          </w:p>
        </w:tc>
        <w:tc>
          <w:tcPr>
            <w:tcW w:w="1420" w:type="dxa"/>
            <w:vAlign w:val="bottom"/>
            <w:gridSpan w:val="2"/>
          </w:tcPr>
          <w:p>
            <w:pPr>
              <w:jc w:val="right"/>
              <w:ind w:right="593"/>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Airframe Price:</w:t>
            </w:r>
          </w:p>
        </w:tc>
        <w:tc>
          <w:tcPr>
            <w:tcW w:w="780" w:type="dxa"/>
            <w:vAlign w:val="bottom"/>
          </w:tcPr>
          <w:p>
            <w:pPr>
              <w:spacing w:after="0"/>
              <w:rPr>
                <w:sz w:val="16"/>
                <w:szCs w:val="16"/>
                <w:color w:val="auto"/>
              </w:rPr>
            </w:pPr>
          </w:p>
        </w:tc>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0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Engine Price Base Year/***</w:t>
            </w:r>
          </w:p>
        </w:tc>
        <w:tc>
          <w:tcPr>
            <w:tcW w:w="1420" w:type="dxa"/>
            <w:vAlign w:val="bottom"/>
            <w:gridSpan w:val="2"/>
          </w:tcPr>
          <w:p>
            <w:pPr>
              <w:jc w:val="right"/>
              <w:ind w:right="593"/>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3</w:t>
            </w: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 Features:</w:t>
            </w:r>
          </w:p>
        </w:tc>
        <w:tc>
          <w:tcPr>
            <w:tcW w:w="780" w:type="dxa"/>
            <w:vAlign w:val="bottom"/>
          </w:tcPr>
          <w:p>
            <w:pPr>
              <w:spacing w:after="0"/>
              <w:rPr>
                <w:sz w:val="17"/>
                <w:szCs w:val="17"/>
                <w:color w:val="auto"/>
              </w:rPr>
            </w:pPr>
          </w:p>
        </w:tc>
        <w:tc>
          <w:tcPr>
            <w:tcW w:w="9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Borders>
              <w:bottom w:val="single" w:sz="8" w:color="auto"/>
            </w:tcBorders>
            <w:gridSpan w:val="3"/>
          </w:tcPr>
          <w:p>
            <w:pPr>
              <w:spacing w:after="0" w:line="178" w:lineRule="exact"/>
              <w:rPr>
                <w:sz w:val="20"/>
                <w:szCs w:val="20"/>
                <w:color w:val="auto"/>
              </w:rPr>
            </w:pPr>
            <w:r>
              <w:rPr>
                <w:rFonts w:ascii="Times New Roman" w:cs="Times New Roman" w:eastAsia="Times New Roman" w:hAnsi="Times New Roman"/>
                <w:sz w:val="18"/>
                <w:szCs w:val="18"/>
                <w:b w:val="1"/>
                <w:bCs w:val="1"/>
                <w:color w:val="auto"/>
                <w:w w:val="98"/>
              </w:rPr>
              <w:t>Airframe *** Data:</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of Airframe</w:t>
            </w:r>
          </w:p>
        </w:tc>
        <w:tc>
          <w:tcPr>
            <w:tcW w:w="78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320" w:type="dxa"/>
            <w:vAlign w:val="bottom"/>
          </w:tcPr>
          <w:p>
            <w:pPr>
              <w:spacing w:after="0"/>
              <w:rPr>
                <w:sz w:val="5"/>
                <w:szCs w:val="5"/>
                <w:color w:val="auto"/>
              </w:rPr>
            </w:pPr>
          </w:p>
        </w:tc>
        <w:tc>
          <w:tcPr>
            <w:tcW w:w="1420" w:type="dxa"/>
            <w:vAlign w:val="bottom"/>
            <w:gridSpan w:val="2"/>
            <w:vMerge w:val="restart"/>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9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and Features:</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2</w:t>
            </w: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4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Engine Price (Per</w:t>
            </w:r>
          </w:p>
        </w:tc>
        <w:tc>
          <w:tcPr>
            <w:tcW w:w="780" w:type="dxa"/>
            <w:vAlign w:val="bottom"/>
          </w:tcPr>
          <w:p>
            <w:pPr>
              <w:spacing w:after="0"/>
              <w:rPr>
                <w:sz w:val="17"/>
                <w:szCs w:val="17"/>
                <w:color w:val="auto"/>
              </w:rPr>
            </w:pPr>
          </w:p>
        </w:tc>
        <w:tc>
          <w:tcPr>
            <w:tcW w:w="96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980" w:type="dxa"/>
            <w:vAlign w:val="bottom"/>
            <w:gridSpan w:val="4"/>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Base Year Index (CPI):</w:t>
            </w:r>
          </w:p>
        </w:tc>
        <w:tc>
          <w:tcPr>
            <w:tcW w:w="320" w:type="dxa"/>
            <w:vAlign w:val="bottom"/>
          </w:tcPr>
          <w:p>
            <w:pPr>
              <w:spacing w:after="0"/>
              <w:rPr>
                <w:sz w:val="17"/>
                <w:szCs w:val="17"/>
                <w:color w:val="auto"/>
              </w:rPr>
            </w:pPr>
          </w:p>
        </w:tc>
        <w:tc>
          <w:tcPr>
            <w:tcW w:w="1420" w:type="dxa"/>
            <w:vAlign w:val="bottom"/>
            <w:gridSpan w:val="2"/>
          </w:tcPr>
          <w:p>
            <w:pPr>
              <w:jc w:val="right"/>
              <w:ind w:right="593"/>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Aircraft) :</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Aircraft Basic Price</w:t>
            </w:r>
          </w:p>
        </w:tc>
        <w:tc>
          <w:tcPr>
            <w:tcW w:w="780" w:type="dxa"/>
            <w:vAlign w:val="bottom"/>
          </w:tcPr>
          <w:p>
            <w:pPr>
              <w:spacing w:after="0"/>
              <w:rPr>
                <w:sz w:val="14"/>
                <w:szCs w:val="14"/>
                <w:color w:val="auto"/>
              </w:rPr>
            </w:pPr>
          </w:p>
        </w:tc>
        <w:tc>
          <w:tcPr>
            <w:tcW w:w="9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Engine *** Data:</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(Excluding BFE/SPE):</w:t>
            </w:r>
          </w:p>
        </w:tc>
        <w:tc>
          <w:tcPr>
            <w:tcW w:w="7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20" w:type="dxa"/>
            <w:vAlign w:val="bottom"/>
            <w:gridSpan w:val="3"/>
            <w:vMerge w:val="restart"/>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Buyer Furnished Equipment</w:t>
            </w: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gridSpan w:val="4"/>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Base Year Index (ECI):</w:t>
            </w:r>
          </w:p>
        </w:tc>
        <w:tc>
          <w:tcPr>
            <w:tcW w:w="320" w:type="dxa"/>
            <w:vAlign w:val="bottom"/>
          </w:tcPr>
          <w:p>
            <w:pPr>
              <w:spacing w:after="0" w:line="20" w:lineRule="exact"/>
              <w:rPr>
                <w:sz w:val="1"/>
                <w:szCs w:val="1"/>
                <w:color w:val="auto"/>
              </w:rPr>
            </w:pPr>
          </w:p>
        </w:tc>
        <w:tc>
          <w:tcPr>
            <w:tcW w:w="1420" w:type="dxa"/>
            <w:vAlign w:val="bottom"/>
            <w:gridSpan w:val="2"/>
            <w:vMerge w:val="restart"/>
          </w:tcPr>
          <w:p>
            <w:pPr>
              <w:jc w:val="right"/>
              <w:ind w:right="593"/>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720" w:type="dxa"/>
            <w:vAlign w:val="bottom"/>
            <w:gridSpan w:val="3"/>
            <w:vMerge w:val="continue"/>
          </w:tcPr>
          <w:p>
            <w:pPr>
              <w:spacing w:after="0"/>
              <w:rPr>
                <w:sz w:val="13"/>
                <w:szCs w:val="13"/>
                <w:color w:val="auto"/>
              </w:rPr>
            </w:pPr>
          </w:p>
        </w:tc>
        <w:tc>
          <w:tcPr>
            <w:tcW w:w="96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8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(BFE) Estimate:</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3</w:t>
            </w: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4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Seller Purchased</w:t>
            </w:r>
          </w:p>
        </w:tc>
        <w:tc>
          <w:tcPr>
            <w:tcW w:w="780" w:type="dxa"/>
            <w:vAlign w:val="bottom"/>
          </w:tcPr>
          <w:p>
            <w:pPr>
              <w:spacing w:after="0"/>
              <w:rPr>
                <w:sz w:val="17"/>
                <w:szCs w:val="17"/>
                <w:color w:val="auto"/>
              </w:rPr>
            </w:pPr>
          </w:p>
        </w:tc>
        <w:tc>
          <w:tcPr>
            <w:tcW w:w="96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980" w:type="dxa"/>
            <w:vAlign w:val="bottom"/>
            <w:gridSpan w:val="4"/>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Base Year Index (CPI):</w:t>
            </w:r>
          </w:p>
        </w:tc>
        <w:tc>
          <w:tcPr>
            <w:tcW w:w="320" w:type="dxa"/>
            <w:vAlign w:val="bottom"/>
          </w:tcPr>
          <w:p>
            <w:pPr>
              <w:spacing w:after="0"/>
              <w:rPr>
                <w:sz w:val="17"/>
                <w:szCs w:val="17"/>
                <w:color w:val="auto"/>
              </w:rPr>
            </w:pPr>
          </w:p>
        </w:tc>
        <w:tc>
          <w:tcPr>
            <w:tcW w:w="1420" w:type="dxa"/>
            <w:vAlign w:val="bottom"/>
            <w:gridSpan w:val="2"/>
          </w:tcPr>
          <w:p>
            <w:pPr>
              <w:jc w:val="right"/>
              <w:ind w:right="593"/>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 (SPE)</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4</w:t>
            </w: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7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gridSpan w:val="3"/>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320" w:type="dxa"/>
            <w:vAlign w:val="bottom"/>
          </w:tcPr>
          <w:p>
            <w:pPr>
              <w:spacing w:after="0"/>
              <w:rPr>
                <w:sz w:val="14"/>
                <w:szCs w:val="14"/>
                <w:color w:val="auto"/>
              </w:rPr>
            </w:pPr>
          </w:p>
        </w:tc>
        <w:tc>
          <w:tcPr>
            <w:tcW w:w="2540" w:type="dxa"/>
            <w:vAlign w:val="bottom"/>
            <w:tcBorders>
              <w:right w:val="single" w:sz="8" w:color="auto"/>
            </w:tcBorders>
            <w:gridSpan w:val="3"/>
          </w:tcPr>
          <w:p>
            <w:pPr>
              <w:jc w:val="center"/>
              <w:ind w:right="252"/>
              <w:spacing w:after="0" w:line="169" w:lineRule="exact"/>
              <w:rPr>
                <w:sz w:val="20"/>
                <w:szCs w:val="20"/>
                <w:color w:val="auto"/>
              </w:rPr>
            </w:pPr>
            <w:r>
              <w:rPr>
                <w:rFonts w:ascii="Times New Roman" w:cs="Times New Roman" w:eastAsia="Times New Roman" w:hAnsi="Times New Roman"/>
                <w:sz w:val="18"/>
                <w:szCs w:val="18"/>
                <w:b w:val="1"/>
                <w:bCs w:val="1"/>
                <w:color w:val="auto"/>
              </w:rPr>
              <w:t>*** (Amts. Due/*** Prior to</w:t>
            </w: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Borders>
              <w:left w:val="single" w:sz="8" w:color="auto"/>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Estimate</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tcBorders>
              <w:right w:val="single" w:sz="8" w:color="auto"/>
            </w:tcBorders>
            <w:gridSpan w:val="2"/>
          </w:tcPr>
          <w:p>
            <w:pPr>
              <w:jc w:val="center"/>
              <w:ind w:right="732"/>
              <w:spacing w:after="0" w:line="180" w:lineRule="exact"/>
              <w:rPr>
                <w:sz w:val="20"/>
                <w:szCs w:val="20"/>
                <w:color w:val="auto"/>
              </w:rPr>
            </w:pPr>
            <w:r>
              <w:rPr>
                <w:rFonts w:ascii="Times New Roman" w:cs="Times New Roman" w:eastAsia="Times New Roman" w:hAnsi="Times New Roman"/>
                <w:sz w:val="18"/>
                <w:szCs w:val="18"/>
                <w:b w:val="1"/>
                <w:bCs w:val="1"/>
                <w:color w:val="auto"/>
                <w:w w:val="98"/>
              </w:rPr>
              <w:t>Delivery):</w:t>
            </w: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020" w:type="dxa"/>
            <w:vAlign w:val="bottom"/>
            <w:tcBorders>
              <w:left w:val="single" w:sz="8" w:color="auto"/>
              <w:righ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vMerge w:val="restart"/>
          </w:tcPr>
          <w:p>
            <w:pPr>
              <w:ind w:left="120"/>
              <w:spacing w:after="0" w:line="200"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restart"/>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w w:val="99"/>
              </w:rPr>
              <w:t>Manufacturer</w:t>
            </w:r>
          </w:p>
        </w:tc>
        <w:tc>
          <w:tcPr>
            <w:tcW w:w="840" w:type="dxa"/>
            <w:vAlign w:val="bottom"/>
            <w:tcBorders>
              <w:right w:val="single" w:sz="8" w:color="auto"/>
            </w:tcBorders>
            <w:gridSpan w:val="3"/>
            <w:vMerge w:val="restart"/>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 Base</w:t>
            </w: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020" w:type="dxa"/>
            <w:vAlign w:val="bottom"/>
            <w:tcBorders>
              <w:left w:val="single" w:sz="8" w:color="auto"/>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 of</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780" w:type="dxa"/>
            <w:vAlign w:val="bottom"/>
            <w:vMerge w:val="continue"/>
          </w:tcPr>
          <w:p>
            <w:pPr>
              <w:spacing w:after="0"/>
              <w:rPr>
                <w:sz w:val="10"/>
                <w:szCs w:val="10"/>
                <w:color w:val="auto"/>
              </w:rPr>
            </w:pP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Factor</w:t>
            </w:r>
          </w:p>
        </w:tc>
        <w:tc>
          <w:tcPr>
            <w:tcW w:w="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Factor</w:t>
            </w:r>
          </w:p>
        </w:tc>
        <w:tc>
          <w:tcPr>
            <w:tcW w:w="720" w:type="dxa"/>
            <w:vAlign w:val="bottom"/>
            <w:tcBorders>
              <w:right w:val="single" w:sz="8" w:color="auto"/>
            </w:tcBorders>
            <w:vMerge w:val="restart"/>
          </w:tcPr>
          <w:p>
            <w:pPr>
              <w:jc w:val="right"/>
              <w:ind w:right="147"/>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gridSpan w:val="3"/>
            <w:vMerge w:val="continue"/>
          </w:tcPr>
          <w:p>
            <w:pPr>
              <w:spacing w:after="0"/>
              <w:rPr>
                <w:sz w:val="10"/>
                <w:szCs w:val="10"/>
                <w:color w:val="auto"/>
              </w:rPr>
            </w:pPr>
          </w:p>
        </w:tc>
        <w:tc>
          <w:tcPr>
            <w:tcW w:w="3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right w:val="single" w:sz="8" w:color="auto"/>
            </w:tcBorders>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4"/>
        </w:trPr>
        <w:tc>
          <w:tcPr>
            <w:tcW w:w="1020" w:type="dxa"/>
            <w:vAlign w:val="bottom"/>
            <w:tcBorders>
              <w:left w:val="single" w:sz="8" w:color="auto"/>
              <w:right w:val="single" w:sz="8" w:color="auto"/>
            </w:tcBorders>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of</w:t>
            </w:r>
          </w:p>
        </w:tc>
        <w:tc>
          <w:tcPr>
            <w:tcW w:w="960" w:type="dxa"/>
            <w:vAlign w:val="bottom"/>
            <w:vMerge w:val="continue"/>
          </w:tcPr>
          <w:p>
            <w:pPr>
              <w:spacing w:after="0"/>
              <w:rPr>
                <w:sz w:val="15"/>
                <w:szCs w:val="15"/>
                <w:color w:val="auto"/>
              </w:rPr>
            </w:pPr>
          </w:p>
        </w:tc>
        <w:tc>
          <w:tcPr>
            <w:tcW w:w="96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tcPr>
          <w:p>
            <w:pPr>
              <w:ind w:left="340"/>
              <w:spacing w:after="0" w:line="174" w:lineRule="exact"/>
              <w:rPr>
                <w:sz w:val="20"/>
                <w:szCs w:val="20"/>
                <w:color w:val="auto"/>
              </w:rPr>
            </w:pPr>
            <w:r>
              <w:rPr>
                <w:rFonts w:ascii="Times New Roman" w:cs="Times New Roman" w:eastAsia="Times New Roman" w:hAnsi="Times New Roman"/>
                <w:sz w:val="18"/>
                <w:szCs w:val="18"/>
                <w:b w:val="1"/>
                <w:bCs w:val="1"/>
                <w:color w:val="auto"/>
              </w:rPr>
              <w:t>Serial</w:t>
            </w:r>
          </w:p>
        </w:tc>
        <w:tc>
          <w:tcPr>
            <w:tcW w:w="840" w:type="dxa"/>
            <w:vAlign w:val="bottom"/>
            <w:tcBorders>
              <w:right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Price Per</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102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(Airframe)</w:t>
            </w:r>
          </w:p>
        </w:tc>
        <w:tc>
          <w:tcPr>
            <w:tcW w:w="9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Forecast</w:t>
            </w:r>
          </w:p>
        </w:tc>
        <w:tc>
          <w:tcPr>
            <w:tcW w:w="11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A/P</w:t>
            </w:r>
          </w:p>
        </w:tc>
        <w:tc>
          <w:tcPr>
            <w:tcW w:w="3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9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48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93"/>
              </w:rPr>
              <w:t>***</w:t>
            </w:r>
          </w:p>
        </w:tc>
        <w:tc>
          <w:tcPr>
            <w:tcW w:w="48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-948690</wp:posOffset>
            </wp:positionV>
            <wp:extent cx="8255" cy="9512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84">
                      <a:extLst>
                        <a:ext uri="{28A0092B-C50C-407E-A947-70E740481C1C}"/>
                      </a:extLst>
                    </a:blip>
                    <a:srcRect/>
                    <a:stretch>
                      <a:fillRect/>
                    </a:stretch>
                  </pic:blipFill>
                  <pic:spPr bwMode="auto">
                    <a:xfrm>
                      <a:off x="0" y="0"/>
                      <a:ext cx="8255" cy="951230"/>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-948690</wp:posOffset>
            </wp:positionV>
            <wp:extent cx="454025" cy="9601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85">
                      <a:extLst>
                        <a:ext uri="{28A0092B-C50C-407E-A947-70E740481C1C}"/>
                      </a:extLst>
                    </a:blip>
                    <a:srcRect/>
                    <a:stretch>
                      <a:fillRect/>
                    </a:stretch>
                  </pic:blipFill>
                  <pic:spPr bwMode="auto">
                    <a:xfrm>
                      <a:off x="0" y="0"/>
                      <a:ext cx="454025" cy="960120"/>
                    </a:xfrm>
                    <a:prstGeom prst="rect">
                      <a:avLst/>
                    </a:prstGeom>
                    <a:noFill/>
                  </pic:spPr>
                </pic:pic>
              </a:graphicData>
            </a:graphic>
          </wp:anchor>
        </w:drawing>
      </w:r>
    </w:p>
    <w:p>
      <w:pPr>
        <w:ind w:left="1020" w:right="1660" w:hanging="9"/>
        <w:spacing w:after="0" w:line="203" w:lineRule="auto"/>
        <w:tabs>
          <w:tab w:leader="none" w:pos="1144" w:val="left"/>
        </w:tabs>
        <w:numPr>
          <w:ilvl w:val="0"/>
          <w:numId w:val="10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 Aircraft are eligible for the provisions of Letter Agreement UAL-PA-04815-LA-2000325R1 entitled "Lease of Additional Gross Weight for 787-*** Aircaft".</w:t>
      </w:r>
    </w:p>
    <w:p>
      <w:pPr>
        <w:spacing w:after="0" w:line="1" w:lineRule="exact"/>
        <w:rPr>
          <w:rFonts w:ascii="Times New Roman" w:cs="Times New Roman" w:eastAsia="Times New Roman" w:hAnsi="Times New Roman"/>
          <w:sz w:val="28"/>
          <w:szCs w:val="28"/>
          <w:color w:val="auto"/>
          <w:vertAlign w:val="superscript"/>
        </w:rPr>
      </w:pPr>
    </w:p>
    <w:p>
      <w:pPr>
        <w:ind w:left="1020"/>
        <w:spacing w:after="0" w:line="199"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w:t>
      </w:r>
    </w:p>
    <w:p>
      <w:pPr>
        <w:spacing w:after="0" w:line="1" w:lineRule="exact"/>
        <w:rPr>
          <w:sz w:val="20"/>
          <w:szCs w:val="20"/>
          <w:color w:val="auto"/>
        </w:rPr>
      </w:pPr>
    </w:p>
    <w:p>
      <w:pPr>
        <w:ind w:left="1020" w:right="1480" w:hanging="9"/>
        <w:spacing w:after="0" w:line="204" w:lineRule="auto"/>
        <w:tabs>
          <w:tab w:leader="none" w:pos="1144" w:val="left"/>
        </w:tabs>
        <w:numPr>
          <w:ilvl w:val="0"/>
          <w:numId w:val="10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Amounts above are *** and are *** 787-*** Aircraft and are based on ***. ***; however, has expressed its desire to *** the 787-*** under the *** Configuration process proscribed by UAL-PA-04815-LA-22006311R1. - Accordingly, ***.</w:t>
      </w:r>
    </w:p>
    <w:p>
      <w:pPr>
        <w:ind w:left="1020"/>
        <w:spacing w:after="0" w:line="209"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w:t>
      </w:r>
    </w:p>
    <w:p>
      <w:pPr>
        <w:spacing w:after="0" w:line="1" w:lineRule="exact"/>
        <w:rPr>
          <w:rFonts w:ascii="Times New Roman" w:cs="Times New Roman" w:eastAsia="Times New Roman" w:hAnsi="Times New Roman"/>
          <w:sz w:val="28"/>
          <w:szCs w:val="28"/>
          <w:color w:val="auto"/>
          <w:vertAlign w:val="superscript"/>
        </w:rPr>
      </w:pPr>
    </w:p>
    <w:p>
      <w:pPr>
        <w:ind w:left="1020"/>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 Manufacturer Serial Numbers idenitfied above ***.</w:t>
      </w:r>
    </w:p>
    <w:p>
      <w:pPr>
        <w:ind w:left="1160" w:hanging="149"/>
        <w:spacing w:after="0" w:line="231" w:lineRule="auto"/>
        <w:tabs>
          <w:tab w:leader="none" w:pos="11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Aircraft in this Table 1 shown in a row with NO color denotes that such Aircraft is a *** Scheduled Delivery ***</w:t>
      </w:r>
    </w:p>
    <w:p>
      <w:pPr>
        <w:ind w:left="10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Aircraft.</w:t>
      </w:r>
    </w:p>
    <w:p>
      <w:pPr>
        <w:spacing w:after="0" w:line="6" w:lineRule="exact"/>
        <w:rPr>
          <w:rFonts w:ascii="Times New Roman" w:cs="Times New Roman" w:eastAsia="Times New Roman" w:hAnsi="Times New Roman"/>
          <w:sz w:val="20"/>
          <w:szCs w:val="20"/>
          <w:b w:val="1"/>
          <w:bCs w:val="1"/>
          <w:color w:val="auto"/>
        </w:rPr>
      </w:pPr>
    </w:p>
    <w:p>
      <w:pPr>
        <w:ind w:left="1660" w:hanging="109"/>
        <w:spacing w:after="0"/>
        <w:tabs>
          <w:tab w:leader="none" w:pos="1660" w:val="left"/>
        </w:tabs>
        <w:numPr>
          <w:ilvl w:val="1"/>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Accordingly, **** Base Price is based upon use of the Scheduled Delivery *** for such Aircraft</w:t>
      </w:r>
    </w:p>
    <w:p>
      <w:pPr>
        <w:spacing w:after="0" w:line="13" w:lineRule="exact"/>
        <w:rPr>
          <w:rFonts w:ascii="Times New Roman" w:cs="Times New Roman" w:eastAsia="Times New Roman" w:hAnsi="Times New Roman"/>
          <w:sz w:val="20"/>
          <w:szCs w:val="20"/>
          <w:b w:val="1"/>
          <w:bCs w:val="1"/>
          <w:color w:val="auto"/>
        </w:rPr>
      </w:pPr>
    </w:p>
    <w:p>
      <w:pPr>
        <w:ind w:left="1160" w:hanging="149"/>
        <w:spacing w:after="0"/>
        <w:tabs>
          <w:tab w:leader="none" w:pos="11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 each Aircraft with a Contract Delivery *** that is ***:</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The of *** a *** Contract Delivery *** used in calculation of the estimate of the *** Base Price.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Complete Schedule of No recontract Scheduled Delivery *** Aircraft is as follows:</w:t>
      </w:r>
    </w:p>
    <w:p>
      <w:pPr>
        <w:sectPr>
          <w:pgSz w:w="11900" w:h="16838" w:orient="portrait"/>
          <w:cols w:equalWidth="0" w:num="1">
            <w:col w:w="11200"/>
          </w:cols>
          <w:pgMar w:left="320" w:top="96" w:right="379" w:bottom="1440" w:gutter="0" w:footer="0" w:header="0"/>
        </w:sectPr>
      </w:pP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The Aircraft in the Table 1 for 1st *** 787-*** are ***</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through</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 the *** Scheduled Delivery *** Aircraft.</w:t>
      </w:r>
    </w:p>
    <w:p>
      <w:pPr>
        <w:spacing w:after="0" w:line="22" w:lineRule="exact"/>
        <w:rPr>
          <w:sz w:val="20"/>
          <w:szCs w:val="20"/>
          <w:color w:val="auto"/>
        </w:rPr>
      </w:pPr>
    </w:p>
    <w:p>
      <w:pPr>
        <w:sectPr>
          <w:pgSz w:w="11900" w:h="16838" w:orient="portrait"/>
          <w:cols w:equalWidth="0" w:num="4">
            <w:col w:w="4940" w:space="420"/>
            <w:col w:w="680" w:space="460"/>
            <w:col w:w="300" w:space="540"/>
            <w:col w:w="3860"/>
          </w:cols>
          <w:pgMar w:left="320" w:top="96" w:right="379" w:bottom="1440" w:gutter="0" w:footer="0" w:header="0"/>
          <w:type w:val="continuous"/>
        </w:sectPr>
      </w:pPr>
    </w:p>
    <w:p>
      <w:pPr>
        <w:ind w:left="3780"/>
        <w:spacing w:after="0"/>
        <w:rPr>
          <w:sz w:val="20"/>
          <w:szCs w:val="20"/>
          <w:color w:val="auto"/>
        </w:rPr>
      </w:pPr>
      <w:r>
        <w:rPr>
          <w:rFonts w:ascii="Times New Roman" w:cs="Times New Roman" w:eastAsia="Times New Roman" w:hAnsi="Times New Roman"/>
          <w:sz w:val="19"/>
          <w:szCs w:val="19"/>
          <w:b w:val="1"/>
          <w:bCs w:val="1"/>
          <w:color w:val="auto"/>
        </w:rPr>
        <w:t>Aircraft #</w:t>
      </w:r>
    </w:p>
    <w:p>
      <w:pPr>
        <w:sectPr>
          <w:pgSz w:w="11900" w:h="16838" w:orient="portrait"/>
          <w:cols w:equalWidth="0" w:num="1">
            <w:col w:w="11200"/>
          </w:cols>
          <w:pgMar w:left="320" w:top="96" w:right="37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9"/>
          <w:szCs w:val="19"/>
          <w:b w:val="1"/>
          <w:bCs w:val="1"/>
          <w:color w:val="auto"/>
        </w:rPr>
        <w:t>The Aircraft in LA-1802897R4 Attachment A-1 are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through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of the *** Scheduled Delivery *** Aircraft.</w:t>
      </w:r>
    </w:p>
    <w:p>
      <w:pPr>
        <w:spacing w:after="0" w:line="12" w:lineRule="exact"/>
        <w:rPr>
          <w:sz w:val="20"/>
          <w:szCs w:val="20"/>
          <w:color w:val="auto"/>
        </w:rPr>
      </w:pPr>
    </w:p>
    <w:p>
      <w:pPr>
        <w:sectPr>
          <w:pgSz w:w="11900" w:h="16838" w:orient="portrait"/>
          <w:cols w:equalWidth="0" w:num="4">
            <w:col w:w="4940" w:space="420"/>
            <w:col w:w="680" w:space="460"/>
            <w:col w:w="300" w:space="540"/>
            <w:col w:w="3860"/>
          </w:cols>
          <w:pgMar w:left="320" w:top="96" w:right="379" w:bottom="1440" w:gutter="0" w:footer="0" w:header="0"/>
          <w:type w:val="continuous"/>
        </w:sectPr>
      </w:pPr>
    </w:p>
    <w:p>
      <w:pPr>
        <w:ind w:left="3780"/>
        <w:spacing w:after="0" w:line="236" w:lineRule="auto"/>
        <w:rPr>
          <w:sz w:val="20"/>
          <w:szCs w:val="20"/>
          <w:color w:val="auto"/>
        </w:rPr>
      </w:pPr>
      <w:r>
        <w:rPr>
          <w:rFonts w:ascii="Times New Roman" w:cs="Times New Roman" w:eastAsia="Times New Roman" w:hAnsi="Times New Roman"/>
          <w:sz w:val="19"/>
          <w:szCs w:val="19"/>
          <w:b w:val="1"/>
          <w:bCs w:val="1"/>
          <w:color w:val="auto"/>
        </w:rPr>
        <w:t>Aircraft #</w:t>
      </w:r>
    </w:p>
    <w:p>
      <w:pPr>
        <w:sectPr>
          <w:pgSz w:w="11900" w:h="16838" w:orient="portrait"/>
          <w:cols w:equalWidth="0" w:num="1">
            <w:col w:w="11200"/>
          </w:cols>
          <w:pgMar w:left="320" w:top="96" w:right="379" w:bottom="1440" w:gutter="0" w:footer="0" w:header="0"/>
          <w:type w:val="continuous"/>
        </w:sectPr>
      </w:pP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The Aircraft in the Table 1 for the *** 787-*** are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through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of the *** Scheduled Delivery *** Aircraft.</w:t>
      </w:r>
    </w:p>
    <w:p>
      <w:pPr>
        <w:spacing w:after="0" w:line="12" w:lineRule="exact"/>
        <w:rPr>
          <w:sz w:val="20"/>
          <w:szCs w:val="20"/>
          <w:color w:val="auto"/>
        </w:rPr>
      </w:pPr>
    </w:p>
    <w:p>
      <w:pPr>
        <w:sectPr>
          <w:pgSz w:w="11900" w:h="16838" w:orient="portrait"/>
          <w:cols w:equalWidth="0" w:num="4">
            <w:col w:w="4940" w:space="420"/>
            <w:col w:w="680" w:space="460"/>
            <w:col w:w="300" w:space="540"/>
            <w:col w:w="3860"/>
          </w:cols>
          <w:pgMar w:left="320" w:top="96" w:right="379" w:bottom="1440" w:gutter="0" w:footer="0" w:header="0"/>
          <w:type w:val="continuous"/>
        </w:sectPr>
      </w:pPr>
    </w:p>
    <w:p>
      <w:pPr>
        <w:ind w:left="3780"/>
        <w:spacing w:after="0" w:line="236" w:lineRule="auto"/>
        <w:rPr>
          <w:sz w:val="20"/>
          <w:szCs w:val="20"/>
          <w:color w:val="auto"/>
        </w:rPr>
      </w:pPr>
      <w:r>
        <w:rPr>
          <w:rFonts w:ascii="Times New Roman" w:cs="Times New Roman" w:eastAsia="Times New Roman" w:hAnsi="Times New Roman"/>
          <w:sz w:val="19"/>
          <w:szCs w:val="19"/>
          <w:b w:val="1"/>
          <w:bCs w:val="1"/>
          <w:color w:val="auto"/>
        </w:rPr>
        <w:t>Aircraft #</w:t>
      </w:r>
    </w:p>
    <w:p>
      <w:pPr>
        <w:sectPr>
          <w:pgSz w:w="11900" w:h="16838" w:orient="portrait"/>
          <w:cols w:equalWidth="0" w:num="1">
            <w:col w:w="11200"/>
          </w:cols>
          <w:pgMar w:left="320" w:top="96" w:right="379" w:bottom="1440" w:gutter="0" w:footer="0" w:header="0"/>
          <w:type w:val="continuous"/>
        </w:sectPr>
      </w:pP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b w:val="1"/>
          <w:bCs w:val="1"/>
          <w:color w:val="auto"/>
        </w:rPr>
        <w:t>The Aircraft in this Table 1 for the New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through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of the *** Scheduled Delivery *** Aircraft.</w:t>
      </w:r>
    </w:p>
    <w:p>
      <w:pPr>
        <w:spacing w:after="0" w:line="12" w:lineRule="exact"/>
        <w:rPr>
          <w:sz w:val="20"/>
          <w:szCs w:val="20"/>
          <w:color w:val="auto"/>
        </w:rPr>
      </w:pPr>
    </w:p>
    <w:p>
      <w:pPr>
        <w:sectPr>
          <w:pgSz w:w="11900" w:h="16838" w:orient="portrait"/>
          <w:cols w:equalWidth="0" w:num="4">
            <w:col w:w="4940" w:space="420"/>
            <w:col w:w="680" w:space="460"/>
            <w:col w:w="300" w:space="540"/>
            <w:col w:w="3860"/>
          </w:cols>
          <w:pgMar w:left="320" w:top="96" w:right="379" w:bottom="1440" w:gutter="0" w:footer="0" w:header="0"/>
          <w:type w:val="continuous"/>
        </w:sectPr>
      </w:pPr>
    </w:p>
    <w:p>
      <w:pPr>
        <w:ind w:left="1500"/>
        <w:spacing w:after="0" w:line="236" w:lineRule="auto"/>
        <w:rPr>
          <w:sz w:val="20"/>
          <w:szCs w:val="20"/>
          <w:color w:val="auto"/>
        </w:rPr>
      </w:pPr>
      <w:r>
        <w:rPr>
          <w:rFonts w:ascii="Times New Roman" w:cs="Times New Roman" w:eastAsia="Times New Roman" w:hAnsi="Times New Roman"/>
          <w:sz w:val="19"/>
          <w:szCs w:val="19"/>
          <w:b w:val="1"/>
          <w:bCs w:val="1"/>
          <w:color w:val="auto"/>
        </w:rPr>
        <w:t>Configuration 787-*** are Aircraft #</w:t>
      </w:r>
    </w:p>
    <w:p>
      <w:pPr>
        <w:sectPr>
          <w:pgSz w:w="11900" w:h="16838" w:orient="portrait"/>
          <w:cols w:equalWidth="0" w:num="1">
            <w:col w:w="11200"/>
          </w:cols>
          <w:pgMar w:left="320" w:top="9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APR-125267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BOEING / UNITED AIRLINES</w:t>
      </w:r>
    </w:p>
    <w:p>
      <w:pPr>
        <w:jc w:val="center"/>
        <w:spacing w:after="0"/>
        <w:rPr>
          <w:sz w:val="20"/>
          <w:szCs w:val="20"/>
          <w:color w:val="auto"/>
        </w:rPr>
      </w:pPr>
      <w:r>
        <w:rPr>
          <w:rFonts w:ascii="Times New Roman" w:cs="Times New Roman" w:eastAsia="Times New Roman" w:hAnsi="Times New Roman"/>
          <w:sz w:val="18"/>
          <w:szCs w:val="18"/>
          <w:b w:val="1"/>
          <w:bCs w:val="1"/>
          <w:color w:val="auto"/>
        </w:rPr>
        <w:t>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787-*** with *** Engines Table 1 (SA-15), Page 1</w:t>
      </w:r>
    </w:p>
    <w:p>
      <w:pPr>
        <w:sectPr>
          <w:pgSz w:w="11900" w:h="16838" w:orient="portrait"/>
          <w:cols w:equalWidth="0" w:num="3">
            <w:col w:w="3640" w:space="720"/>
            <w:col w:w="2480" w:space="660"/>
            <w:col w:w="3700"/>
          </w:cols>
          <w:pgMar w:left="320" w:top="96" w:right="379" w:bottom="1440" w:gutter="0" w:footer="0" w:header="0"/>
          <w:type w:val="continuous"/>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787-*** AIRCRAFT CONFIGURATION</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between</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00" w:lineRule="exact"/>
        <w:rPr>
          <w:sz w:val="20"/>
          <w:szCs w:val="20"/>
          <w:color w:val="auto"/>
        </w:rPr>
      </w:pPr>
    </w:p>
    <w:p>
      <w:pPr>
        <w:spacing w:after="0" w:line="290"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22"/>
          <w:szCs w:val="22"/>
          <w:color w:val="auto"/>
        </w:rPr>
        <w:t>Exhibit A to Purchase Agreement Number 04815 for</w:t>
      </w:r>
    </w:p>
    <w:p>
      <w:pPr>
        <w:spacing w:after="0" w:line="200" w:lineRule="exact"/>
        <w:rPr>
          <w:sz w:val="20"/>
          <w:szCs w:val="20"/>
          <w:color w:val="auto"/>
        </w:rPr>
      </w:pPr>
    </w:p>
    <w:p>
      <w:pPr>
        <w:spacing w:after="0" w:line="2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787-*** Aircraft with *** Engines (SA-15)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1520" w:val="left"/>
          <w:tab w:leader="none" w:pos="1880" w:val="left"/>
        </w:tabs>
        <w:rPr>
          <w:sz w:val="20"/>
          <w:szCs w:val="20"/>
          <w:color w:val="auto"/>
        </w:rPr>
      </w:pPr>
      <w:r>
        <w:rPr>
          <w:rFonts w:ascii="Times New Roman" w:cs="Times New Roman" w:eastAsia="Times New Roman" w:hAnsi="Times New Roman"/>
          <w:sz w:val="22"/>
          <w:szCs w:val="22"/>
          <w:color w:val="auto"/>
        </w:rPr>
        <w:t>P.A. No. 04815</w:t>
        <w:tab/>
        <w:t>A</w:t>
      </w:r>
      <w:r>
        <w:rPr>
          <w:sz w:val="20"/>
          <w:szCs w:val="20"/>
          <w:color w:val="auto"/>
        </w:rPr>
        <w:tab/>
      </w:r>
      <w:r>
        <w:rPr>
          <w:rFonts w:ascii="Times New Roman" w:cs="Times New Roman" w:eastAsia="Times New Roman" w:hAnsi="Times New Roman"/>
          <w:sz w:val="21"/>
          <w:szCs w:val="21"/>
          <w:color w:val="auto"/>
        </w:rPr>
        <w:t>SA-15</w:t>
      </w:r>
    </w:p>
    <w:p>
      <w:pPr>
        <w:spacing w:after="0" w:line="2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color w:val="auto"/>
        </w:rPr>
        <w:t>Exhibit A to</w:t>
      </w:r>
    </w:p>
    <w:p>
      <w:pPr>
        <w:spacing w:after="0" w:line="204" w:lineRule="auto"/>
        <w:rPr>
          <w:sz w:val="20"/>
          <w:szCs w:val="20"/>
          <w:color w:val="auto"/>
        </w:rPr>
      </w:pPr>
      <w:r>
        <w:rPr>
          <w:rFonts w:ascii="Times New Roman" w:cs="Times New Roman" w:eastAsia="Times New Roman" w:hAnsi="Times New Roman"/>
          <w:sz w:val="22"/>
          <w:szCs w:val="22"/>
          <w:color w:val="auto"/>
        </w:rPr>
        <w:t>Purchase Agreement No. 04815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AIRCRAFT CONFIGURATION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relating to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MODEL 787-*** AIRCRAFT IN *** CONFIGURATION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Detail Specification is Boeing document entitled Detail specification D019E001UAL89P-2-TBD (the designator is TBD due to the Detail Specification being aligned by manufacturer serial number (</w:t>
      </w:r>
      <w:r>
        <w:rPr>
          <w:rFonts w:ascii="Times New Roman" w:cs="Times New Roman" w:eastAsia="Times New Roman" w:hAnsi="Times New Roman"/>
          <w:sz w:val="21"/>
          <w:szCs w:val="21"/>
          <w:b w:val="1"/>
          <w:bCs w:val="1"/>
          <w:color w:val="auto"/>
        </w:rPr>
        <w:t>MSN</w:t>
      </w:r>
      <w:r>
        <w:rPr>
          <w:rFonts w:ascii="Times New Roman" w:cs="Times New Roman" w:eastAsia="Times New Roman" w:hAnsi="Times New Roman"/>
          <w:sz w:val="21"/>
          <w:szCs w:val="21"/>
          <w:color w:val="auto"/>
        </w:rPr>
        <w:t>), e.g., for the 787-*** aircraft ***, the Detail Specification is number D019E001UAL89P-1-66134, Rev (New). The Detail Specification provides further description of Customer’s configuration set forth in this Exhibit A and is *** as amended to incorporate the optional features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listed below, including the effects on *** and ***. The *** reflects and includes all effects of such *** except such *** does not include the</w:t>
      </w:r>
    </w:p>
    <w:p>
      <w:pPr>
        <w:spacing w:after="0" w:line="2" w:lineRule="exact"/>
        <w:rPr>
          <w:sz w:val="20"/>
          <w:szCs w:val="20"/>
          <w:color w:val="auto"/>
        </w:rPr>
      </w:pPr>
    </w:p>
    <w:p>
      <w:pPr>
        <w:ind w:firstLine="8"/>
        <w:spacing w:after="0" w:line="248" w:lineRule="auto"/>
        <w:tabs>
          <w:tab w:leader="none" w:pos="38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Buyer Furnished Equipment or Seller Purchased Equipment. As soon as practicable, Boeing will furnish to Customer copies of the Detail Specification, which copies will reflect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520" w:val="left"/>
          <w:tab w:leader="none" w:pos="1880" w:val="left"/>
        </w:tabs>
        <w:rPr>
          <w:sz w:val="20"/>
          <w:szCs w:val="20"/>
          <w:color w:val="auto"/>
        </w:rPr>
      </w:pPr>
      <w:r>
        <w:rPr>
          <w:rFonts w:ascii="Times New Roman" w:cs="Times New Roman" w:eastAsia="Times New Roman" w:hAnsi="Times New Roman"/>
          <w:sz w:val="22"/>
          <w:szCs w:val="22"/>
          <w:color w:val="auto"/>
        </w:rPr>
        <w:t>P.A. No. 04815</w:t>
        <w:tab/>
        <w:t>A</w:t>
      </w:r>
      <w:r>
        <w:rPr>
          <w:sz w:val="20"/>
          <w:szCs w:val="20"/>
          <w:color w:val="auto"/>
        </w:rPr>
        <w:tab/>
      </w:r>
      <w:r>
        <w:rPr>
          <w:rFonts w:ascii="Times New Roman" w:cs="Times New Roman" w:eastAsia="Times New Roman" w:hAnsi="Times New Roman"/>
          <w:sz w:val="21"/>
          <w:szCs w:val="21"/>
          <w:color w:val="auto"/>
        </w:rPr>
        <w:t>SA-15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8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Exhibit A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 Agreement No. 04815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6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Number</w:t>
            </w:r>
          </w:p>
        </w:tc>
        <w:tc>
          <w:tcPr>
            <w:tcW w:w="6020" w:type="dxa"/>
            <w:vAlign w:val="bottom"/>
            <w:tcBorders>
              <w:top w:val="single" w:sz="8" w:color="auto"/>
              <w:right w:val="single" w:sz="8" w:color="auto"/>
            </w:tcBorders>
            <w:vMerge w:val="restart"/>
          </w:tcPr>
          <w:p>
            <w:pPr>
              <w:ind w:left="28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78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Initial Shipset Price</w:t>
            </w:r>
          </w:p>
        </w:tc>
        <w:tc>
          <w:tcPr>
            <w:tcW w:w="1820" w:type="dxa"/>
            <w:vAlign w:val="bottom"/>
            <w:tcBorders>
              <w:top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 Price Per Aircraft</w:t>
            </w:r>
          </w:p>
        </w:tc>
        <w:tc>
          <w:tcPr>
            <w:tcW w:w="0" w:type="dxa"/>
            <w:vAlign w:val="bottom"/>
          </w:tcPr>
          <w:p>
            <w:pPr>
              <w:spacing w:after="0"/>
              <w:rPr>
                <w:sz w:val="1"/>
                <w:szCs w:val="1"/>
                <w:color w:val="auto"/>
              </w:rPr>
            </w:pPr>
          </w:p>
        </w:tc>
      </w:tr>
      <w:tr>
        <w:trPr>
          <w:trHeight w:val="243"/>
        </w:trPr>
        <w:tc>
          <w:tcPr>
            <w:tcW w:w="16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6020" w:type="dxa"/>
            <w:vAlign w:val="bottom"/>
            <w:tcBorders>
              <w:bottom w:val="single" w:sz="8" w:color="auto"/>
              <w:right w:val="single" w:sz="8" w:color="auto"/>
            </w:tcBorders>
            <w:vMerge w:val="continue"/>
          </w:tcPr>
          <w:p>
            <w:pPr>
              <w:spacing w:after="0"/>
              <w:rPr>
                <w:sz w:val="21"/>
                <w:szCs w:val="21"/>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Aircraft ***$</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314"/>
        </w:trPr>
        <w:tc>
          <w:tcPr>
            <w:tcW w:w="1640" w:type="dxa"/>
            <w:vAlign w:val="bottom"/>
            <w:tcBorders>
              <w:left w:val="single" w:sz="8" w:color="auto"/>
              <w:right w:val="single" w:sz="8" w:color="auto"/>
            </w:tcBorders>
          </w:tcPr>
          <w:p>
            <w:pPr>
              <w:jc w:val="right"/>
              <w:ind w:right="606"/>
              <w:spacing w:after="0"/>
              <w:rPr>
                <w:sz w:val="20"/>
                <w:szCs w:val="20"/>
                <w:color w:val="auto"/>
              </w:rPr>
            </w:pPr>
            <w:r>
              <w:rPr>
                <w:rFonts w:ascii="Arial" w:cs="Arial" w:eastAsia="Arial" w:hAnsi="Arial"/>
                <w:sz w:val="20"/>
                <w:szCs w:val="20"/>
                <w:color w:val="auto"/>
              </w:rPr>
              <w:t>***</w:t>
            </w: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4"/>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602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164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20"/>
                <w:szCs w:val="20"/>
                <w:b w:val="1"/>
                <w:bCs w:val="1"/>
                <w:color w:val="auto"/>
              </w:rPr>
              <w:t>TOTAL</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74"/>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602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1520" w:val="left"/>
          <w:tab w:leader="none" w:pos="1880" w:val="left"/>
        </w:tabs>
        <w:rPr>
          <w:sz w:val="20"/>
          <w:szCs w:val="20"/>
          <w:color w:val="auto"/>
        </w:rPr>
      </w:pPr>
      <w:r>
        <w:rPr>
          <w:rFonts w:ascii="Times New Roman" w:cs="Times New Roman" w:eastAsia="Times New Roman" w:hAnsi="Times New Roman"/>
          <w:sz w:val="22"/>
          <w:szCs w:val="22"/>
          <w:color w:val="auto"/>
        </w:rPr>
        <w:t>P.A. No. 04815</w:t>
        <w:tab/>
        <w:t>A</w:t>
      </w:r>
      <w:r>
        <w:rPr>
          <w:sz w:val="20"/>
          <w:szCs w:val="20"/>
          <w:color w:val="auto"/>
        </w:rPr>
        <w:tab/>
      </w:r>
      <w:r>
        <w:rPr>
          <w:rFonts w:ascii="Times New Roman" w:cs="Times New Roman" w:eastAsia="Times New Roman" w:hAnsi="Times New Roman"/>
          <w:sz w:val="21"/>
          <w:szCs w:val="21"/>
          <w:color w:val="auto"/>
        </w:rPr>
        <w:t>SA-15</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60"/>
          </w:cols>
          <w:pgMar w:left="320" w:top="126" w:right="31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787-*** AIRCRAFT CONFIGURATION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between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to Purchase Agreement Number 04815 for 787-*** Aircraft with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Engines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Configuration for the *** 787-*** Aircraft</w:t>
      </w:r>
    </w:p>
    <w:p>
      <w:pPr>
        <w:spacing w:after="0" w:line="310" w:lineRule="exact"/>
        <w:rPr>
          <w:sz w:val="20"/>
          <w:szCs w:val="20"/>
          <w:color w:val="auto"/>
        </w:rPr>
      </w:pPr>
    </w:p>
    <w:p>
      <w:pPr>
        <w:ind w:left="200"/>
        <w:spacing w:after="0"/>
        <w:tabs>
          <w:tab w:leader="none" w:pos="4400" w:val="left"/>
          <w:tab w:leader="none" w:pos="7940" w:val="left"/>
        </w:tabs>
        <w:rPr>
          <w:sz w:val="20"/>
          <w:szCs w:val="20"/>
          <w:color w:val="auto"/>
        </w:rPr>
      </w:pPr>
      <w:r>
        <w:rPr>
          <w:rFonts w:ascii="Times New Roman" w:cs="Times New Roman" w:eastAsia="Times New Roman" w:hAnsi="Times New Roman"/>
          <w:sz w:val="18"/>
          <w:szCs w:val="18"/>
          <w:color w:val="auto"/>
        </w:rPr>
        <w:t>P.A. No. 04815</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SA-15</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BOEING PROPRIETARY</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Execution Version Supplemental Agreement No. 15 to 787 Purchase Agreement No. 4815, Page 22A of 102</w:t>
      </w:r>
    </w:p>
    <w:p>
      <w:pPr>
        <w:sectPr>
          <w:pgSz w:w="11900" w:h="16838" w:orient="portrait"/>
          <w:cols w:equalWidth="0" w:num="1">
            <w:col w:w="9019"/>
          </w:cols>
          <w:pgMar w:left="1440" w:top="1440"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Exhibit A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 Agreement No. 04815 Page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AIRCRAFT CONFIGURATION</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relating to</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BOEING MODEL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Configuration for the ***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80"/>
        <w:spacing w:after="0" w:line="250" w:lineRule="auto"/>
        <w:rPr>
          <w:sz w:val="20"/>
          <w:szCs w:val="20"/>
          <w:color w:val="auto"/>
        </w:rPr>
      </w:pPr>
      <w:r>
        <w:rPr>
          <w:rFonts w:ascii="Times New Roman" w:cs="Times New Roman" w:eastAsia="Times New Roman" w:hAnsi="Times New Roman"/>
          <w:sz w:val="22"/>
          <w:szCs w:val="22"/>
          <w:color w:val="auto"/>
        </w:rPr>
        <w:t>The Detail Specification is Boeing document entitled Detail specification D019E001UAL89P-1- TBD (the designator is TBD due to the Detail Specification being aligned by manufacturer serial number (</w:t>
      </w:r>
      <w:r>
        <w:rPr>
          <w:rFonts w:ascii="Times New Roman" w:cs="Times New Roman" w:eastAsia="Times New Roman" w:hAnsi="Times New Roman"/>
          <w:sz w:val="22"/>
          <w:szCs w:val="22"/>
          <w:b w:val="1"/>
          <w:bCs w:val="1"/>
          <w:color w:val="auto"/>
        </w:rPr>
        <w:t>MSN</w:t>
      </w:r>
      <w:r>
        <w:rPr>
          <w:rFonts w:ascii="Times New Roman" w:cs="Times New Roman" w:eastAsia="Times New Roman" w:hAnsi="Times New Roman"/>
          <w:sz w:val="22"/>
          <w:szCs w:val="22"/>
          <w:color w:val="auto"/>
        </w:rPr>
        <w:t>), e.g., for the 787-*** aircraft ***, the Detail Specification is number D019E001UAL89P-1-66134, Rev (New)). The Detail Specification provides further description of Customer’s configuration set forth in this Exhibit A and is *** as amended to incorporate the optional features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listed below, including the effects on *** and ***. The *** reflects and includes all effects of such *** except such *** does not include the *** of any Buyer Furnished Equipment or Seller Purchased Equipment. As soon as practicable, Boeing will furnish to Customer copies of the Detail Specification, which copies will reflect ***.</w:t>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p>
    <w:p>
      <w:pPr>
        <w:spacing w:after="0" w:line="350" w:lineRule="exact"/>
        <w:rPr>
          <w:sz w:val="20"/>
          <w:szCs w:val="20"/>
          <w:color w:val="auto"/>
        </w:rPr>
      </w:pPr>
    </w:p>
    <w:p>
      <w:pPr>
        <w:ind w:left="1280"/>
        <w:spacing w:after="0"/>
        <w:tabs>
          <w:tab w:leader="none" w:pos="5480" w:val="left"/>
          <w:tab w:leader="none" w:pos="9020" w:val="left"/>
        </w:tabs>
        <w:rPr>
          <w:sz w:val="20"/>
          <w:szCs w:val="20"/>
          <w:color w:val="auto"/>
        </w:rPr>
      </w:pPr>
      <w:r>
        <w:rPr>
          <w:rFonts w:ascii="Times New Roman" w:cs="Times New Roman" w:eastAsia="Times New Roman" w:hAnsi="Times New Roman"/>
          <w:sz w:val="18"/>
          <w:szCs w:val="18"/>
          <w:color w:val="auto"/>
        </w:rPr>
        <w:t>P.A. No. 04815</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SA-15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BOEING PROPRIETARY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Execution Version Supplemental Agreement No. 15 to 787 Purchase Agreement No. 4815, Page 22B of 102</w:t>
      </w:r>
    </w:p>
    <w:p>
      <w:pPr>
        <w:sectPr>
          <w:pgSz w:w="11900" w:h="16838" w:orient="portrait"/>
          <w:cols w:equalWidth="0" w:num="1">
            <w:col w:w="11100"/>
          </w:cols>
          <w:pgMar w:left="360" w:top="193"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color w:val="auto"/>
        </w:rPr>
        <w:t>Exhibit A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 Agreement No. 04815 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90" w:type="dxa"/>
        <w:tblCellMar>
          <w:top w:w="0" w:type="dxa"/>
          <w:left w:w="0" w:type="dxa"/>
          <w:bottom w:w="0" w:type="dxa"/>
          <w:right w:w="0" w:type="dxa"/>
        </w:tblCellMar>
      </w:tblPr>
      <w:tr>
        <w:trPr>
          <w:trHeight w:val="311"/>
        </w:trPr>
        <w:tc>
          <w:tcPr>
            <w:tcW w:w="1080" w:type="dxa"/>
            <w:vAlign w:val="bottom"/>
            <w:tcBorders>
              <w:top w:val="single" w:sz="8" w:color="auto"/>
              <w:lef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4900" w:type="dxa"/>
            <w:vAlign w:val="bottom"/>
            <w:tcBorders>
              <w:top w:val="single" w:sz="8" w:color="auto"/>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Aircraft ***$</w:t>
            </w:r>
          </w:p>
        </w:tc>
        <w:tc>
          <w:tcPr>
            <w:tcW w:w="540" w:type="dxa"/>
            <w:vAlign w:val="bottom"/>
          </w:tcPr>
          <w:p>
            <w:pPr>
              <w:spacing w:after="0"/>
              <w:rPr>
                <w:sz w:val="24"/>
                <w:szCs w:val="24"/>
                <w:color w:val="auto"/>
              </w:rPr>
            </w:pPr>
          </w:p>
        </w:tc>
      </w:tr>
      <w:tr>
        <w:trPr>
          <w:trHeight w:val="243"/>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 Number</w:t>
            </w:r>
          </w:p>
        </w:tc>
        <w:tc>
          <w:tcPr>
            <w:tcW w:w="1580" w:type="dxa"/>
            <w:vAlign w:val="bottom"/>
          </w:tcPr>
          <w:p>
            <w:pPr>
              <w:spacing w:after="0"/>
              <w:rPr>
                <w:sz w:val="21"/>
                <w:szCs w:val="21"/>
                <w:color w:val="auto"/>
              </w:rPr>
            </w:pPr>
          </w:p>
        </w:tc>
        <w:tc>
          <w:tcPr>
            <w:tcW w:w="490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4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108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r>
        <w:trPr>
          <w:trHeight w:val="277"/>
        </w:trPr>
        <w:tc>
          <w:tcPr>
            <w:tcW w:w="10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r>
      <w:tr>
        <w:trPr>
          <w:trHeight w:val="41"/>
        </w:trPr>
        <w:tc>
          <w:tcPr>
            <w:tcW w:w="108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77"/>
        </w:trPr>
        <w:tc>
          <w:tcPr>
            <w:tcW w:w="10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0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4"/>
                <w:szCs w:val="24"/>
                <w:color w:val="auto"/>
              </w:rPr>
            </w:pPr>
          </w:p>
        </w:tc>
      </w:tr>
      <w:tr>
        <w:trPr>
          <w:trHeight w:val="41"/>
        </w:trPr>
        <w:tc>
          <w:tcPr>
            <w:tcW w:w="108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876"/>
        </w:trPr>
        <w:tc>
          <w:tcPr>
            <w:tcW w:w="108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 No. 04815</w:t>
            </w:r>
          </w:p>
        </w:tc>
        <w:tc>
          <w:tcPr>
            <w:tcW w:w="490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1"/>
              </w:rPr>
              <w:t>A</w:t>
            </w:r>
          </w:p>
        </w:tc>
        <w:tc>
          <w:tcPr>
            <w:tcW w:w="2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SA-15</w:t>
            </w:r>
          </w:p>
        </w:tc>
      </w:tr>
      <w:tr>
        <w:trPr>
          <w:trHeight w:val="238"/>
        </w:trPr>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90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BOEING PROPRIETARY</w:t>
            </w: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Execution Version Supplemental Agreement No. 15 to 787 Purchase Agreement No. 4815, Page 22I of 102</w:t>
      </w:r>
    </w:p>
    <w:p>
      <w:pPr>
        <w:sectPr>
          <w:pgSz w:w="11900" w:h="16838" w:orient="portrait"/>
          <w:cols w:equalWidth="0" w:num="1">
            <w:col w:w="11120"/>
          </w:cols>
          <w:pgMar w:left="360" w:top="193" w:right="419" w:bottom="1440" w:gutter="0" w:footer="0" w:header="0"/>
        </w:sectPr>
      </w:pPr>
    </w:p>
    <w:bookmarkStart w:id="161" w:name="page162"/>
    <w:bookmarkEnd w:id="161"/>
    <w:p>
      <w:pPr>
        <w:ind w:left="1560"/>
        <w:spacing w:after="0"/>
        <w:rPr>
          <w:sz w:val="20"/>
          <w:szCs w:val="20"/>
          <w:color w:val="auto"/>
        </w:rPr>
      </w:pPr>
      <w:r>
        <w:rPr>
          <w:rFonts w:ascii="Times New Roman" w:cs="Times New Roman" w:eastAsia="Times New Roman" w:hAnsi="Times New Roman"/>
          <w:sz w:val="32"/>
          <w:szCs w:val="32"/>
          <w:b w:val="1"/>
          <w:bCs w:val="1"/>
          <w:color w:val="auto"/>
        </w:rPr>
        <w:t>BUYER FURNISHED EQUIPMENT VARIABLES</w:t>
      </w:r>
    </w:p>
    <w:p>
      <w:pPr>
        <w:sectPr>
          <w:pgSz w:w="11900" w:h="16838" w:orient="portrait"/>
          <w:cols w:equalWidth="0" w:num="1">
            <w:col w:w="9639"/>
          </w:cols>
          <w:pgMar w:left="820" w:top="1038"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32"/>
          <w:szCs w:val="32"/>
          <w:b w:val="1"/>
          <w:bCs w:val="1"/>
          <w:color w:val="auto"/>
        </w:rPr>
        <w:t>787-*** Aircraft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32"/>
          <w:szCs w:val="32"/>
          <w:b w:val="1"/>
          <w:bCs w:val="1"/>
          <w:color w:val="auto"/>
        </w:rPr>
        <w:t>For the *** 787-*** Aircraft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32"/>
          <w:szCs w:val="32"/>
          <w:b w:val="1"/>
          <w:bCs w:val="1"/>
          <w:color w:val="auto"/>
        </w:rPr>
        <w:t>between</w:t>
      </w:r>
    </w:p>
    <w:p>
      <w:pPr>
        <w:spacing w:after="0" w:line="26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32"/>
          <w:szCs w:val="32"/>
          <w:b w:val="1"/>
          <w:bCs w:val="1"/>
          <w:color w:val="auto"/>
        </w:rPr>
        <w:t>THE BOEING COMPANY</w:t>
      </w:r>
    </w:p>
    <w:p>
      <w:pPr>
        <w:spacing w:after="0" w:line="26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32"/>
          <w:szCs w:val="32"/>
          <w:b w:val="1"/>
          <w:bCs w:val="1"/>
          <w:color w:val="auto"/>
        </w:rPr>
        <w:t>and</w:t>
      </w:r>
    </w:p>
    <w:p>
      <w:pPr>
        <w:spacing w:after="0" w:line="25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2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Supplemental Exhibit BFE1</w:t>
      </w:r>
    </w:p>
    <w:p>
      <w:pPr>
        <w:spacing w:after="0" w:line="6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32"/>
          <w:szCs w:val="32"/>
          <w:b w:val="1"/>
          <w:bCs w:val="1"/>
          <w:color w:val="auto"/>
        </w:rPr>
        <w:t>to Purchase Agreement Number 04815</w:t>
      </w:r>
    </w:p>
    <w:p>
      <w:pPr>
        <w:sectPr>
          <w:pgSz w:w="11900" w:h="16838" w:orient="portrait"/>
          <w:cols w:equalWidth="0" w:num="1">
            <w:col w:w="9639"/>
          </w:cols>
          <w:pgMar w:left="820" w:top="10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3840" w:val="left"/>
          <w:tab w:leader="none" w:pos="7920" w:val="left"/>
        </w:tabs>
        <w:rPr>
          <w:sz w:val="20"/>
          <w:szCs w:val="20"/>
          <w:color w:val="auto"/>
        </w:rPr>
      </w:pPr>
      <w:r>
        <w:rPr>
          <w:rFonts w:ascii="Times New Roman" w:cs="Times New Roman" w:eastAsia="Times New Roman" w:hAnsi="Times New Roman"/>
          <w:sz w:val="22"/>
          <w:szCs w:val="22"/>
          <w:color w:val="auto"/>
        </w:rPr>
        <w:t>UAL-PA-04815-BFE1 787-***</w:t>
      </w:r>
      <w:r>
        <w:rPr>
          <w:sz w:val="20"/>
          <w:szCs w:val="20"/>
          <w:color w:val="auto"/>
        </w:rPr>
        <w:tab/>
      </w:r>
      <w:r>
        <w:rPr>
          <w:rFonts w:ascii="Times New Roman" w:cs="Times New Roman" w:eastAsia="Times New Roman" w:hAnsi="Times New Roman"/>
          <w:sz w:val="22"/>
          <w:szCs w:val="22"/>
          <w:b w:val="1"/>
          <w:bCs w:val="1"/>
          <w:color w:val="auto"/>
        </w:rPr>
        <w:t>BOEING PROPRIETARY</w:t>
      </w:r>
      <w:r>
        <w:rPr>
          <w:sz w:val="20"/>
          <w:szCs w:val="20"/>
          <w:color w:val="auto"/>
        </w:rPr>
        <w:tab/>
      </w:r>
      <w:r>
        <w:rPr>
          <w:rFonts w:ascii="Times New Roman" w:cs="Times New Roman" w:eastAsia="Times New Roman" w:hAnsi="Times New Roman"/>
          <w:sz w:val="21"/>
          <w:szCs w:val="21"/>
          <w:color w:val="auto"/>
        </w:rPr>
        <w:t>SA-15, Page 1</w:t>
      </w:r>
    </w:p>
    <w:p>
      <w:pPr>
        <w:sectPr>
          <w:pgSz w:w="11900" w:h="16838" w:orient="portrait"/>
          <w:cols w:equalWidth="0" w:num="1">
            <w:col w:w="9639"/>
          </w:cols>
          <w:pgMar w:left="820" w:top="1038" w:right="1440" w:bottom="1440" w:gutter="0" w:footer="0" w:header="0"/>
          <w:type w:val="continuous"/>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Execution Version Supplemental Agreement No. 15 to 787 Purchase Agreement No. 4815, Page 43A of 102</w:t>
      </w:r>
    </w:p>
    <w:p>
      <w:pPr>
        <w:sectPr>
          <w:pgSz w:w="11900" w:h="16838" w:orient="portrait"/>
          <w:cols w:equalWidth="0" w:num="1">
            <w:col w:w="9699"/>
          </w:cols>
          <w:pgMar w:left="760" w:top="1440" w:right="1440" w:bottom="1440" w:gutter="0" w:footer="0" w:header="0"/>
        </w:sectPr>
      </w:pPr>
    </w:p>
    <w:bookmarkStart w:id="163" w:name="page164"/>
    <w:bookmarkEnd w:id="163"/>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BUYER FURNISHED EQUIPMENT VARIABLES</w:t>
      </w:r>
    </w:p>
    <w:p>
      <w:pPr>
        <w:spacing w:after="0" w:line="24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relating to</w:t>
      </w:r>
    </w:p>
    <w:p>
      <w:pPr>
        <w:spacing w:after="0" w:line="24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BOEING MODEL 787-*** AIRCRAFT</w:t>
      </w:r>
    </w:p>
    <w:p>
      <w:pPr>
        <w:spacing w:after="0" w:line="359" w:lineRule="exact"/>
        <w:rPr>
          <w:sz w:val="20"/>
          <w:szCs w:val="20"/>
          <w:color w:val="auto"/>
        </w:rPr>
      </w:pPr>
    </w:p>
    <w:p>
      <w:pPr>
        <w:ind w:left="920" w:firstLine="648"/>
        <w:spacing w:after="0" w:line="284" w:lineRule="auto"/>
        <w:rPr>
          <w:sz w:val="20"/>
          <w:szCs w:val="20"/>
          <w:color w:val="auto"/>
        </w:rPr>
      </w:pPr>
      <w:r>
        <w:rPr>
          <w:rFonts w:ascii="Times New Roman" w:cs="Times New Roman" w:eastAsia="Times New Roman" w:hAnsi="Times New Roman"/>
          <w:sz w:val="22"/>
          <w:szCs w:val="22"/>
          <w:color w:val="auto"/>
        </w:rPr>
        <w:t>This Supplemental Exhibit BFE1 contains supplier selection dates, on-dock dates and other requirements applicable to the Aircraft.</w:t>
      </w:r>
    </w:p>
    <w:p>
      <w:pPr>
        <w:spacing w:after="0" w:line="36" w:lineRule="exact"/>
        <w:rPr>
          <w:sz w:val="20"/>
          <w:szCs w:val="20"/>
          <w:color w:val="auto"/>
        </w:rPr>
      </w:pPr>
    </w:p>
    <w:p>
      <w:pPr>
        <w:ind w:left="1580"/>
        <w:spacing w:after="0"/>
        <w:rPr>
          <w:sz w:val="20"/>
          <w:szCs w:val="20"/>
          <w:color w:val="auto"/>
        </w:rPr>
      </w:pPr>
      <w:r>
        <w:rPr>
          <w:sz w:val="1"/>
          <w:szCs w:val="1"/>
          <w:color w:val="auto"/>
        </w:rPr>
        <w:drawing>
          <wp:inline distT="0" distB="0" distL="0" distR="0">
            <wp:extent cx="76835" cy="9398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86">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auto"/>
        </w:rPr>
        <w:t xml:space="preserve"> Supplier Selection</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Customer will select and notify Boeing of the suppliers and part numbers of the following BFE</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items:</w:t>
      </w:r>
    </w:p>
    <w:p>
      <w:pPr>
        <w:spacing w:after="0" w:line="263" w:lineRule="exact"/>
        <w:rPr>
          <w:sz w:val="20"/>
          <w:szCs w:val="20"/>
          <w:color w:val="auto"/>
        </w:rPr>
      </w:pPr>
    </w:p>
    <w:p>
      <w:pPr>
        <w:ind w:left="2200"/>
        <w:spacing w:after="0"/>
        <w:tabs>
          <w:tab w:leader="none" w:pos="606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27940</wp:posOffset>
            </wp:positionV>
            <wp:extent cx="1431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8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920" w:right="420"/>
        <w:spacing w:after="0" w:line="271" w:lineRule="auto"/>
        <w:rPr>
          <w:sz w:val="20"/>
          <w:szCs w:val="20"/>
          <w:color w:val="auto"/>
        </w:rPr>
      </w:pPr>
      <w:r>
        <w:rPr>
          <w:rFonts w:ascii="Times New Roman" w:cs="Times New Roman" w:eastAsia="Times New Roman" w:hAnsi="Times New Roman"/>
          <w:sz w:val="22"/>
          <w:szCs w:val="22"/>
          <w:color w:val="auto"/>
        </w:rPr>
        <w:t>Customer *** Boeing to complete all necessary actions including, but not limited to, the Initial Technical Coordination Meeting (</w:t>
      </w:r>
      <w:r>
        <w:rPr>
          <w:rFonts w:ascii="Times New Roman" w:cs="Times New Roman" w:eastAsia="Times New Roman" w:hAnsi="Times New Roman"/>
          <w:sz w:val="22"/>
          <w:szCs w:val="22"/>
          <w:b w:val="1"/>
          <w:bCs w:val="1"/>
          <w:color w:val="auto"/>
        </w:rPr>
        <w:t>ITCM</w:t>
      </w:r>
      <w:r>
        <w:rPr>
          <w:rFonts w:ascii="Times New Roman" w:cs="Times New Roman" w:eastAsia="Times New Roman" w:hAnsi="Times New Roman"/>
          <w:sz w:val="22"/>
          <w:szCs w:val="22"/>
          <w:color w:val="auto"/>
        </w:rPr>
        <w:t>).</w:t>
      </w:r>
    </w:p>
    <w:p>
      <w:pPr>
        <w:spacing w:after="0" w:line="50" w:lineRule="exact"/>
        <w:rPr>
          <w:sz w:val="20"/>
          <w:szCs w:val="20"/>
          <w:color w:val="auto"/>
        </w:rPr>
      </w:pPr>
    </w:p>
    <w:p>
      <w:pPr>
        <w:ind w:left="1580"/>
        <w:spacing w:after="0"/>
        <w:rPr>
          <w:sz w:val="20"/>
          <w:szCs w:val="20"/>
          <w:color w:val="auto"/>
        </w:rPr>
      </w:pPr>
      <w:r>
        <w:rPr>
          <w:sz w:val="1"/>
          <w:szCs w:val="1"/>
          <w:color w:val="auto"/>
        </w:rPr>
        <w:drawing>
          <wp:inline distT="0" distB="0" distL="0" distR="0">
            <wp:extent cx="85725" cy="9398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88">
                      <a:extLst>
                        <a:ext uri="{28A0092B-C50C-407E-A947-70E740481C1C}"/>
                      </a:extLst>
                    </a:blip>
                    <a:srcRect/>
                    <a:stretch>
                      <a:fillRect/>
                    </a:stretch>
                  </pic:blipFill>
                  <pic:spPr bwMode="auto">
                    <a:xfrm>
                      <a:off x="0" y="0"/>
                      <a:ext cx="85725" cy="93980"/>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auto"/>
        </w:rPr>
        <w:t xml:space="preserve"> On-dock Dates and Other Information</w:t>
      </w:r>
      <w:r>
        <w:rPr>
          <w:rFonts w:ascii="Times New Roman" w:cs="Times New Roman" w:eastAsia="Times New Roman" w:hAnsi="Times New Roman"/>
          <w:sz w:val="22"/>
          <w:szCs w:val="22"/>
          <w:color w:val="auto"/>
        </w:rPr>
        <w:t>.</w:t>
      </w:r>
    </w:p>
    <w:p>
      <w:pPr>
        <w:spacing w:after="0" w:line="121" w:lineRule="exact"/>
        <w:rPr>
          <w:sz w:val="20"/>
          <w:szCs w:val="20"/>
          <w:color w:val="auto"/>
        </w:rPr>
      </w:pPr>
    </w:p>
    <w:p>
      <w:pPr>
        <w:jc w:val="both"/>
        <w:ind w:left="920" w:right="420" w:firstLine="648"/>
        <w:spacing w:after="0" w:line="250" w:lineRule="auto"/>
        <w:rPr>
          <w:sz w:val="20"/>
          <w:szCs w:val="20"/>
          <w:color w:val="auto"/>
        </w:rPr>
      </w:pPr>
      <w:r>
        <w:rPr>
          <w:rFonts w:ascii="Times New Roman" w:cs="Times New Roman" w:eastAsia="Times New Roman" w:hAnsi="Times New Roman"/>
          <w:sz w:val="22"/>
          <w:szCs w:val="22"/>
          <w:color w:val="auto"/>
        </w:rPr>
        <w:t>Boeing will provide to Customer the BFE requirements, electronically in My Boeing Fleet (</w:t>
      </w:r>
      <w:r>
        <w:rPr>
          <w:rFonts w:ascii="Times New Roman" w:cs="Times New Roman" w:eastAsia="Times New Roman" w:hAnsi="Times New Roman"/>
          <w:sz w:val="22"/>
          <w:szCs w:val="22"/>
          <w:b w:val="1"/>
          <w:bCs w:val="1"/>
          <w:color w:val="auto"/>
        </w:rPr>
        <w:t>MBF</w:t>
      </w:r>
      <w:r>
        <w:rPr>
          <w:rFonts w:ascii="Times New Roman" w:cs="Times New Roman" w:eastAsia="Times New Roman" w:hAnsi="Times New Roman"/>
          <w:sz w:val="22"/>
          <w:szCs w:val="22"/>
          <w:color w:val="auto"/>
        </w:rPr>
        <w:t>) through My Boeing Configuration (</w:t>
      </w:r>
      <w:r>
        <w:rPr>
          <w:rFonts w:ascii="Times New Roman" w:cs="Times New Roman" w:eastAsia="Times New Roman" w:hAnsi="Times New Roman"/>
          <w:sz w:val="22"/>
          <w:szCs w:val="22"/>
          <w:b w:val="1"/>
          <w:bCs w:val="1"/>
          <w:color w:val="auto"/>
        </w:rPr>
        <w:t>MBC</w:t>
      </w:r>
      <w:r>
        <w:rPr>
          <w:rFonts w:ascii="Times New Roman" w:cs="Times New Roman" w:eastAsia="Times New Roman" w:hAnsi="Times New Roman"/>
          <w:sz w:val="22"/>
          <w:szCs w:val="22"/>
          <w:color w:val="auto"/>
        </w:rPr>
        <w:t>) or by other means, setting forth the items, quantities, technical reviews, on-dock dates, shipping instructions and other requirements relating to the in-sequence installation of BFE. These requirements may be periodically revised by Boeing. Customer’s and Boeing’s rights and obligations set forth in Exhibit A to the AGTA apply to the BFE requirements in this Supplemental Exhibit BFE1. For planning purposes, the *** Aircraft’s preliminary BFE seat requirements and the preliminary on-dock dates for all BFE items are provided below. ***</w:t>
      </w:r>
    </w:p>
    <w:p>
      <w:pPr>
        <w:spacing w:after="0" w:line="220" w:lineRule="exact"/>
        <w:rPr>
          <w:sz w:val="20"/>
          <w:szCs w:val="20"/>
          <w:color w:val="auto"/>
        </w:rPr>
      </w:pPr>
    </w:p>
    <w:p>
      <w:pPr>
        <w:spacing w:after="0"/>
        <w:tabs>
          <w:tab w:leader="none" w:pos="8940" w:val="left"/>
        </w:tabs>
        <w:rPr>
          <w:sz w:val="20"/>
          <w:szCs w:val="20"/>
          <w:color w:val="auto"/>
        </w:rPr>
      </w:pPr>
      <w:r>
        <w:rPr>
          <w:rFonts w:ascii="Times New Roman" w:cs="Times New Roman" w:eastAsia="Times New Roman" w:hAnsi="Times New Roman"/>
          <w:sz w:val="18"/>
          <w:szCs w:val="18"/>
          <w:color w:val="auto"/>
        </w:rPr>
        <w:t>UAL-PA-04815-BFE1 787-***</w:t>
      </w:r>
      <w:r>
        <w:rPr>
          <w:sz w:val="20"/>
          <w:szCs w:val="20"/>
          <w:color w:val="auto"/>
        </w:rPr>
        <w:tab/>
      </w:r>
      <w:r>
        <w:rPr>
          <w:rFonts w:ascii="Times New Roman" w:cs="Times New Roman" w:eastAsia="Times New Roman" w:hAnsi="Times New Roman"/>
          <w:sz w:val="17"/>
          <w:szCs w:val="17"/>
          <w:color w:val="auto"/>
        </w:rPr>
        <w:t>SA-16, Page 2</w:t>
      </w:r>
    </w:p>
    <w:p>
      <w:pPr>
        <w:spacing w:after="0" w:line="5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BOEING PROPRIETARY</w:t>
      </w:r>
    </w:p>
    <w:p>
      <w:pPr>
        <w:spacing w:after="0" w:line="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Execution Version Supplemental Agreement No. 15 to 787 Purchase Agreement No. 4815, Page 43B of 102</w:t>
      </w:r>
    </w:p>
    <w:p>
      <w:pPr>
        <w:sectPr>
          <w:pgSz w:w="11900" w:h="16838" w:orient="portrait"/>
          <w:cols w:equalWidth="0" w:num="1">
            <w:col w:w="10640"/>
          </w:cols>
          <w:pgMar w:left="360" w:top="608" w:right="899" w:bottom="1440" w:gutter="0" w:footer="0" w:header="0"/>
        </w:sectPr>
      </w:pPr>
    </w:p>
    <w:bookmarkStart w:id="164" w:name="page165"/>
    <w:bookmarkEnd w:id="164"/>
    <w:p>
      <w:pPr>
        <w:ind w:left="920" w:right="419" w:firstLine="648"/>
        <w:spacing w:after="0" w:line="271" w:lineRule="auto"/>
        <w:rPr>
          <w:sz w:val="20"/>
          <w:szCs w:val="20"/>
          <w:color w:val="auto"/>
        </w:rPr>
      </w:pPr>
      <w:r>
        <w:rPr>
          <w:rFonts w:ascii="Times New Roman" w:cs="Times New Roman" w:eastAsia="Times New Roman" w:hAnsi="Times New Roman"/>
          <w:sz w:val="22"/>
          <w:szCs w:val="22"/>
          <w:color w:val="auto"/>
        </w:rPr>
        <w:t>The below “Completion Date” represents the first (1st) day of the month by when the specific milestone must be completed to support the BFE seat program.</w:t>
      </w:r>
    </w:p>
    <w:p>
      <w:pPr>
        <w:spacing w:after="0" w:line="3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b w:val="1"/>
          <w:bCs w:val="1"/>
          <w:color w:val="auto"/>
        </w:rPr>
        <w:t>Customer’s *** Aircraft: *** (*** Aircraft Delivery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227965</wp:posOffset>
            </wp:positionV>
            <wp:extent cx="5280660" cy="8915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89">
                      <a:extLst>
                        <a:ext uri="{28A0092B-C50C-407E-A947-70E740481C1C}"/>
                      </a:extLst>
                    </a:blip>
                    <a:srcRect/>
                    <a:stretch>
                      <a:fillRect/>
                    </a:stretch>
                  </pic:blipFill>
                  <pic:spPr bwMode="auto">
                    <a:xfrm>
                      <a:off x="0" y="0"/>
                      <a:ext cx="5280660" cy="891540"/>
                    </a:xfrm>
                    <a:prstGeom prst="rect">
                      <a:avLst/>
                    </a:prstGeom>
                    <a:noFill/>
                  </pic:spPr>
                </pic:pic>
              </a:graphicData>
            </a:graphic>
          </wp:anchor>
        </w:drawing>
      </w:r>
    </w:p>
    <w:p>
      <w:pPr>
        <w:spacing w:after="0" w:line="348" w:lineRule="exact"/>
        <w:rPr>
          <w:sz w:val="20"/>
          <w:szCs w:val="20"/>
          <w:color w:val="auto"/>
        </w:rPr>
      </w:pPr>
    </w:p>
    <w:tbl>
      <w:tblPr>
        <w:tblLayout w:type="fixed"/>
        <w:tblInd w:w="2500" w:type="dxa"/>
        <w:tblCellMar>
          <w:top w:w="0" w:type="dxa"/>
          <w:left w:w="0" w:type="dxa"/>
          <w:bottom w:w="0" w:type="dxa"/>
          <w:right w:w="0" w:type="dxa"/>
        </w:tblCellMar>
      </w:tblPr>
      <w:tr>
        <w:trPr>
          <w:trHeight w:val="310"/>
        </w:trPr>
        <w:tc>
          <w:tcPr>
            <w:tcW w:w="17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Milestone</w:t>
            </w:r>
          </w:p>
        </w:tc>
        <w:tc>
          <w:tcPr>
            <w:tcW w:w="254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8"/>
              </w:rPr>
              <w:t>Completion</w:t>
            </w:r>
          </w:p>
        </w:tc>
        <w:tc>
          <w:tcPr>
            <w:tcW w:w="160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w w:val="96"/>
              </w:rPr>
              <w:t>Comments</w:t>
            </w:r>
          </w:p>
        </w:tc>
        <w:tc>
          <w:tcPr>
            <w:tcW w:w="0" w:type="dxa"/>
            <w:vAlign w:val="bottom"/>
          </w:tcPr>
          <w:p>
            <w:pPr>
              <w:spacing w:after="0"/>
              <w:rPr>
                <w:sz w:val="1"/>
                <w:szCs w:val="1"/>
                <w:color w:val="auto"/>
              </w:rPr>
            </w:pPr>
          </w:p>
        </w:tc>
      </w:tr>
      <w:tr>
        <w:trPr>
          <w:trHeight w:val="151"/>
        </w:trPr>
        <w:tc>
          <w:tcPr>
            <w:tcW w:w="1780" w:type="dxa"/>
            <w:vAlign w:val="bottom"/>
            <w:vMerge w:val="continue"/>
          </w:tcPr>
          <w:p>
            <w:pPr>
              <w:spacing w:after="0"/>
              <w:rPr>
                <w:sz w:val="13"/>
                <w:szCs w:val="13"/>
                <w:color w:val="auto"/>
              </w:rPr>
            </w:pPr>
          </w:p>
        </w:tc>
        <w:tc>
          <w:tcPr>
            <w:tcW w:w="254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25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w:t>
      </w:r>
    </w:p>
    <w:p>
      <w:pPr>
        <w:spacing w:after="0" w:line="153"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18"/>
          <w:szCs w:val="18"/>
          <w:color w:val="auto"/>
        </w:rPr>
        <w:t>UAL-PA-04815-BFE1 787-***</w:t>
      </w:r>
      <w:r>
        <w:rPr>
          <w:sz w:val="20"/>
          <w:szCs w:val="20"/>
          <w:color w:val="auto"/>
        </w:rPr>
        <w:tab/>
      </w:r>
      <w:r>
        <w:rPr>
          <w:rFonts w:ascii="Times New Roman" w:cs="Times New Roman" w:eastAsia="Times New Roman" w:hAnsi="Times New Roman"/>
          <w:sz w:val="26"/>
          <w:szCs w:val="26"/>
          <w:color w:val="auto"/>
          <w:vertAlign w:val="subscript"/>
        </w:rPr>
        <w:t>SA-15, Page 3</w:t>
      </w:r>
    </w:p>
    <w:p>
      <w:pPr>
        <w:spacing w:after="0" w:line="1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BOEING PROPRIETARY</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Execution Version Supplemental Agreement No. 15 to 787 Purchase Agreement No. 4815, Page 43C of 102</w:t>
      </w:r>
    </w:p>
    <w:p>
      <w:pPr>
        <w:sectPr>
          <w:pgSz w:w="11900" w:h="16838" w:orient="portrait"/>
          <w:cols w:equalWidth="0" w:num="1">
            <w:col w:w="10099"/>
          </w:cols>
          <w:pgMar w:left="360" w:top="612" w:right="1440" w:bottom="1440" w:gutter="0" w:footer="0" w:header="0"/>
        </w:sectPr>
      </w:pPr>
    </w:p>
    <w:bookmarkStart w:id="165" w:name="page166"/>
    <w:bookmarkEnd w:id="165"/>
    <w:p>
      <w:pPr>
        <w:jc w:val="center"/>
        <w:ind w:right="-979"/>
        <w:spacing w:after="0"/>
        <w:rPr>
          <w:sz w:val="20"/>
          <w:szCs w:val="20"/>
          <w:color w:val="auto"/>
        </w:rPr>
      </w:pPr>
      <w:r>
        <w:rPr>
          <w:rFonts w:ascii="Times New Roman" w:cs="Times New Roman" w:eastAsia="Times New Roman" w:hAnsi="Times New Roman"/>
          <w:sz w:val="22"/>
          <w:szCs w:val="22"/>
          <w:b w:val="1"/>
          <w:bCs w:val="1"/>
          <w:color w:val="auto"/>
        </w:rPr>
        <w:t>Preliminary On-Dock for All BFE Items</w:t>
      </w:r>
    </w:p>
    <w:p>
      <w:pPr>
        <w:spacing w:after="0" w:line="32"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21"/>
          <w:szCs w:val="21"/>
          <w:color w:val="auto"/>
        </w:rPr>
        <w:t>(Note: All requirements are set forth below. If a *** is listed, then the due date is the *** of ***. If no date</w:t>
      </w:r>
    </w:p>
    <w:p>
      <w:pPr>
        <w:spacing w:after="0" w:line="1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22"/>
          <w:szCs w:val="22"/>
          <w:color w:val="auto"/>
        </w:rPr>
        <w:t>is listed, then there is no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20320</wp:posOffset>
            </wp:positionV>
            <wp:extent cx="3000375" cy="68065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90">
                      <a:extLst>
                        <a:ext uri="{28A0092B-C50C-407E-A947-70E740481C1C}"/>
                      </a:extLst>
                    </a:blip>
                    <a:srcRect/>
                    <a:stretch>
                      <a:fillRect/>
                    </a:stretch>
                  </pic:blipFill>
                  <pic:spPr bwMode="auto">
                    <a:xfrm>
                      <a:off x="0" y="0"/>
                      <a:ext cx="3000375" cy="68065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3"/>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40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Contract Aircraft Delivery</w:t>
            </w:r>
          </w:p>
        </w:tc>
        <w:tc>
          <w:tcPr>
            <w:tcW w:w="1340" w:type="dxa"/>
            <w:vAlign w:val="bottom"/>
            <w:tcBorders>
              <w:top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4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320" w:type="dxa"/>
            <w:vAlign w:val="bottom"/>
            <w:vMerge w:val="restart"/>
            <w:shd w:val="clear" w:color="auto" w:fill="808080"/>
          </w:tcPr>
          <w:p>
            <w:pPr>
              <w:jc w:val="right"/>
              <w:spacing w:after="0" w:line="229" w:lineRule="exact"/>
              <w:rPr>
                <w:sz w:val="20"/>
                <w:szCs w:val="20"/>
                <w:color w:val="auto"/>
              </w:rPr>
            </w:pPr>
            <w:r>
              <w:rPr>
                <w:rFonts w:ascii="Times New Roman" w:cs="Times New Roman" w:eastAsia="Times New Roman" w:hAnsi="Times New Roman"/>
                <w:sz w:val="22"/>
                <w:szCs w:val="22"/>
                <w:color w:val="auto"/>
                <w:highlight w:val="darkGray"/>
                <w:w w:val="90"/>
              </w:rPr>
              <w:t>***</w:t>
            </w:r>
          </w:p>
        </w:tc>
        <w:tc>
          <w:tcPr>
            <w:tcW w:w="1040" w:type="dxa"/>
            <w:vAlign w:val="bottom"/>
            <w:tcBorders>
              <w:right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vMerge w:val="restart"/>
            <w:shd w:val="clear" w:color="auto" w:fill="808080"/>
          </w:tcPr>
          <w:p>
            <w:pPr>
              <w:jc w:val="right"/>
              <w:spacing w:after="0" w:line="229" w:lineRule="exact"/>
              <w:rPr>
                <w:sz w:val="20"/>
                <w:szCs w:val="20"/>
                <w:color w:val="auto"/>
              </w:rPr>
            </w:pPr>
            <w:r>
              <w:rPr>
                <w:rFonts w:ascii="Times New Roman" w:cs="Times New Roman" w:eastAsia="Times New Roman" w:hAnsi="Times New Roman"/>
                <w:sz w:val="22"/>
                <w:szCs w:val="22"/>
                <w:b w:val="1"/>
                <w:bCs w:val="1"/>
                <w:color w:val="auto"/>
                <w:highlight w:val="darkGray"/>
                <w:w w:val="90"/>
              </w:rPr>
              <w:t>***</w:t>
            </w:r>
          </w:p>
        </w:tc>
        <w:tc>
          <w:tcPr>
            <w:tcW w:w="10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vMerge w:val="continue"/>
            <w:shd w:val="clear" w:color="auto" w:fill="808080"/>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vMerge w:val="restart"/>
            <w:shd w:val="clear" w:color="auto" w:fill="808080"/>
          </w:tcPr>
          <w:p>
            <w:pPr>
              <w:spacing w:after="0" w:line="229" w:lineRule="exact"/>
              <w:rPr>
                <w:sz w:val="20"/>
                <w:szCs w:val="20"/>
                <w:color w:val="auto"/>
              </w:rPr>
            </w:pPr>
            <w:r>
              <w:rPr>
                <w:rFonts w:ascii="Times New Roman" w:cs="Times New Roman" w:eastAsia="Times New Roman" w:hAnsi="Times New Roman"/>
                <w:sz w:val="22"/>
                <w:szCs w:val="22"/>
                <w:color w:val="auto"/>
                <w:highlight w:val="darkGray"/>
                <w:w w:val="90"/>
              </w:rPr>
              <w:t>***</w:t>
            </w: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20" w:type="dxa"/>
            <w:vAlign w:val="bottom"/>
            <w:vMerge w:val="continue"/>
            <w:shd w:val="clear" w:color="auto" w:fill="808080"/>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Borders>
              <w:bottom w:val="single" w:sz="8" w:color="808080"/>
            </w:tcBorders>
            <w:vMerge w:val="continue"/>
            <w:shd w:val="clear" w:color="auto" w:fill="808080"/>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260" w:hanging="318"/>
        <w:spacing w:after="0"/>
        <w:tabs>
          <w:tab w:leader="none" w:pos="12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56" w:lineRule="exact"/>
        <w:rPr>
          <w:sz w:val="20"/>
          <w:szCs w:val="20"/>
          <w:color w:val="auto"/>
        </w:rPr>
      </w:pPr>
    </w:p>
    <w:p>
      <w:pPr>
        <w:ind w:left="20"/>
        <w:spacing w:after="0"/>
        <w:tabs>
          <w:tab w:leader="none" w:pos="8740" w:val="left"/>
        </w:tabs>
        <w:rPr>
          <w:sz w:val="20"/>
          <w:szCs w:val="20"/>
          <w:color w:val="auto"/>
        </w:rPr>
      </w:pPr>
      <w:r>
        <w:rPr>
          <w:rFonts w:ascii="Times New Roman" w:cs="Times New Roman" w:eastAsia="Times New Roman" w:hAnsi="Times New Roman"/>
          <w:sz w:val="18"/>
          <w:szCs w:val="18"/>
          <w:color w:val="auto"/>
        </w:rPr>
        <w:t>UAL-PA-04815-BFE1 787-***</w:t>
      </w:r>
      <w:r>
        <w:rPr>
          <w:sz w:val="20"/>
          <w:szCs w:val="20"/>
          <w:color w:val="auto"/>
        </w:rPr>
        <w:tab/>
      </w:r>
      <w:r>
        <w:rPr>
          <w:rFonts w:ascii="Times New Roman" w:cs="Times New Roman" w:eastAsia="Times New Roman" w:hAnsi="Times New Roman"/>
          <w:sz w:val="17"/>
          <w:szCs w:val="17"/>
          <w:color w:val="auto"/>
        </w:rPr>
        <w:t>SA-15, Page 4</w:t>
      </w:r>
    </w:p>
    <w:p>
      <w:pPr>
        <w:spacing w:after="0" w:line="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BOEING PROPRIETARY</w:t>
      </w:r>
    </w:p>
    <w:p>
      <w:pPr>
        <w:spacing w:after="0" w:line="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Execution Version Supplemental Agreement No. 15 to 787 Purchase Agreement No. 4815, Page 43D of 102</w:t>
      </w:r>
    </w:p>
    <w:p>
      <w:pPr>
        <w:sectPr>
          <w:pgSz w:w="11900" w:h="16838" w:orient="portrait"/>
          <w:cols w:equalWidth="0" w:num="1">
            <w:col w:w="10220"/>
          </w:cols>
          <w:pgMar w:left="340" w:top="594" w:right="1339" w:bottom="1440" w:gutter="0" w:footer="0" w:header="0"/>
        </w:sectPr>
      </w:pPr>
    </w:p>
    <w:bookmarkStart w:id="166" w:name="page167"/>
    <w:bookmarkEnd w:id="166"/>
    <w:p>
      <w:pPr>
        <w:ind w:left="1580"/>
        <w:spacing w:after="0"/>
        <w:rPr>
          <w:sz w:val="20"/>
          <w:szCs w:val="20"/>
          <w:color w:val="auto"/>
        </w:rPr>
      </w:pPr>
      <w:r>
        <w:rPr>
          <w:sz w:val="1"/>
          <w:szCs w:val="1"/>
          <w:color w:val="auto"/>
        </w:rPr>
        <w:drawing>
          <wp:inline distT="0" distB="0" distL="0" distR="0">
            <wp:extent cx="85725" cy="9398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91">
                      <a:extLst>
                        <a:ext uri="{28A0092B-C50C-407E-A947-70E740481C1C}"/>
                      </a:extLst>
                    </a:blip>
                    <a:srcRect/>
                    <a:stretch>
                      <a:fillRect/>
                    </a:stretch>
                  </pic:blipFill>
                  <pic:spPr bwMode="auto">
                    <a:xfrm>
                      <a:off x="0" y="0"/>
                      <a:ext cx="85725" cy="93980"/>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auto"/>
        </w:rPr>
        <w:t xml:space="preserve"> Additional Delivery Requirements - Import</w:t>
      </w:r>
      <w:r>
        <w:rPr>
          <w:rFonts w:ascii="Times New Roman" w:cs="Times New Roman" w:eastAsia="Times New Roman" w:hAnsi="Times New Roman"/>
          <w:sz w:val="22"/>
          <w:szCs w:val="22"/>
          <w:color w:val="auto"/>
        </w:rPr>
        <w:t>.</w:t>
      </w:r>
    </w:p>
    <w:p>
      <w:pPr>
        <w:spacing w:after="0" w:line="108" w:lineRule="exact"/>
        <w:rPr>
          <w:sz w:val="20"/>
          <w:szCs w:val="20"/>
          <w:color w:val="auto"/>
        </w:rPr>
      </w:pPr>
    </w:p>
    <w:p>
      <w:pPr>
        <w:jc w:val="both"/>
        <w:ind w:left="920" w:firstLine="648"/>
        <w:spacing w:after="0" w:line="259" w:lineRule="auto"/>
        <w:rPr>
          <w:sz w:val="20"/>
          <w:szCs w:val="20"/>
          <w:color w:val="auto"/>
        </w:rPr>
      </w:pPr>
      <w:r>
        <w:rPr>
          <w:rFonts w:ascii="Times New Roman" w:cs="Times New Roman" w:eastAsia="Times New Roman" w:hAnsi="Times New Roman"/>
          <w:sz w:val="22"/>
          <w:szCs w:val="22"/>
          <w:color w:val="auto"/>
        </w:rPr>
        <w:t xml:space="preserve">Customer will be the </w:t>
      </w:r>
      <w:r>
        <w:rPr>
          <w:rFonts w:ascii="Times New Roman" w:cs="Times New Roman" w:eastAsia="Times New Roman" w:hAnsi="Times New Roman"/>
          <w:sz w:val="22"/>
          <w:szCs w:val="22"/>
          <w:b w:val="1"/>
          <w:bCs w:val="1"/>
          <w:color w:val="auto"/>
        </w:rPr>
        <w:t>importer of record</w:t>
      </w:r>
      <w:r>
        <w:rPr>
          <w:rFonts w:ascii="Times New Roman" w:cs="Times New Roman" w:eastAsia="Times New Roman" w:hAnsi="Times New Roman"/>
          <w:sz w:val="22"/>
          <w:szCs w:val="22"/>
          <w:color w:val="auto"/>
        </w:rPr>
        <w:t xml:space="preserve"> (as defined by U.S. Customs and Border Protection) for all BFE imported into the United States, and as such, it has the responsibility to ensure all of Customer’s BFE shipments comply with U.S. Customs Service regulations.</w:t>
      </w:r>
    </w:p>
    <w:p>
      <w:pPr>
        <w:spacing w:after="0" w:line="7"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8"/>
          <w:szCs w:val="18"/>
          <w:color w:val="auto"/>
        </w:rPr>
        <w:t>UAL-PA-04815-BFE1 787-***</w:t>
      </w:r>
      <w:r>
        <w:rPr>
          <w:sz w:val="20"/>
          <w:szCs w:val="20"/>
          <w:color w:val="auto"/>
        </w:rPr>
        <w:tab/>
      </w:r>
      <w:r>
        <w:rPr>
          <w:rFonts w:ascii="Times New Roman" w:cs="Times New Roman" w:eastAsia="Times New Roman" w:hAnsi="Times New Roman"/>
          <w:sz w:val="26"/>
          <w:szCs w:val="26"/>
          <w:color w:val="auto"/>
          <w:vertAlign w:val="subscript"/>
        </w:rPr>
        <w:t>SA-15, Page 5</w:t>
      </w:r>
    </w:p>
    <w:p>
      <w:pPr>
        <w:spacing w:after="0" w:line="1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BOEING PROPRIETARY</w:t>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Execution Version Supplemental Agreement No. 15 to 787 Purchase Agreement No. 4815, Page 43E of 102</w:t>
      </w:r>
    </w:p>
    <w:p>
      <w:pPr>
        <w:sectPr>
          <w:pgSz w:w="11900" w:h="16838" w:orient="portrait"/>
          <w:cols w:equalWidth="0" w:num="1">
            <w:col w:w="10220"/>
          </w:cols>
          <w:pgMar w:left="360" w:top="612" w:right="1319" w:bottom="1440" w:gutter="0" w:footer="0" w:header="0"/>
        </w:sectPr>
      </w:pPr>
    </w:p>
    <w:bookmarkStart w:id="167" w:name="page168"/>
    <w:bookmarkEnd w:id="167"/>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BUYER FURNISHED EQUIPMENT VARIABLES</w:t>
      </w:r>
    </w:p>
    <w:p>
      <w:pPr>
        <w:spacing w:after="0" w:line="6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 787-*** Aircraft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32"/>
          <w:szCs w:val="32"/>
          <w:b w:val="1"/>
          <w:bCs w:val="1"/>
          <w:color w:val="auto"/>
        </w:rPr>
        <w:t>between</w:t>
      </w:r>
    </w:p>
    <w:p>
      <w:pPr>
        <w:spacing w:after="0" w:line="26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32"/>
          <w:szCs w:val="32"/>
          <w:b w:val="1"/>
          <w:bCs w:val="1"/>
          <w:color w:val="auto"/>
        </w:rPr>
        <w:t>THE BOEING COMPANY</w:t>
      </w:r>
    </w:p>
    <w:p>
      <w:pPr>
        <w:spacing w:after="0" w:line="2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32"/>
          <w:szCs w:val="32"/>
          <w:b w:val="1"/>
          <w:bCs w:val="1"/>
          <w:color w:val="auto"/>
        </w:rPr>
        <w:t>and</w:t>
      </w:r>
    </w:p>
    <w:p>
      <w:pPr>
        <w:spacing w:after="0" w:line="26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26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32"/>
          <w:szCs w:val="32"/>
          <w:b w:val="1"/>
          <w:bCs w:val="1"/>
          <w:color w:val="auto"/>
        </w:rPr>
        <w:t>Supplemental Exhibit BFE1</w:t>
      </w:r>
    </w:p>
    <w:p>
      <w:pPr>
        <w:spacing w:after="0" w:line="6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32"/>
          <w:szCs w:val="32"/>
          <w:b w:val="1"/>
          <w:bCs w:val="1"/>
          <w:color w:val="auto"/>
        </w:rPr>
        <w:t>to Purchase Agreement Number 04815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UAL-PA-04815-BFE1 *** 787-***</w:t>
      </w:r>
      <w:r>
        <w:rPr>
          <w:sz w:val="20"/>
          <w:szCs w:val="20"/>
          <w:color w:val="auto"/>
        </w:rPr>
        <w:tab/>
      </w:r>
      <w:r>
        <w:rPr>
          <w:rFonts w:ascii="Times New Roman" w:cs="Times New Roman" w:eastAsia="Times New Roman" w:hAnsi="Times New Roman"/>
          <w:sz w:val="21"/>
          <w:szCs w:val="21"/>
          <w:color w:val="auto"/>
        </w:rPr>
        <w:t>SA-15, Page 1</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0139"/>
          </w:cols>
          <w:pgMar w:left="320" w:top="997" w:right="1440"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2"/>
          <w:szCs w:val="22"/>
          <w:b w:val="1"/>
          <w:bCs w:val="1"/>
          <w:color w:val="auto"/>
        </w:rPr>
        <w:t>BUYER FURNISHED EQUIPMENT VARIABLES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relating to</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MODEL 787-*** AIRCRAFT BFE VARIABLES *** 787-*** AIRCRAFT</w:t>
      </w:r>
    </w:p>
    <w:p>
      <w:pPr>
        <w:spacing w:after="0" w:line="35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This Supplemental Exhibit BFE1 contains supplier selection dates, on-dock dates and other requirements applicable to the Aircraft.</w:t>
      </w:r>
    </w:p>
    <w:p>
      <w:pPr>
        <w:spacing w:after="0" w:line="239"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Supplier Selection</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Customer will select and notify Boeing of the suppliers and part numbers of the following BFE items: Based on *** delivery (***</w:t>
      </w:r>
      <w:r>
        <w:rPr>
          <w:rFonts w:ascii="Times New Roman" w:cs="Times New Roman" w:eastAsia="Times New Roman" w:hAnsi="Times New Roman"/>
          <w:sz w:val="19"/>
          <w:szCs w:val="19"/>
          <w:color w:val="auto"/>
        </w:rPr>
        <w:t>)</w:t>
      </w:r>
    </w:p>
    <w:p>
      <w:pPr>
        <w:spacing w:after="0" w:line="306" w:lineRule="exact"/>
        <w:rPr>
          <w:sz w:val="20"/>
          <w:szCs w:val="20"/>
          <w:color w:val="auto"/>
        </w:rPr>
      </w:pPr>
    </w:p>
    <w:p>
      <w:pPr>
        <w:ind w:left="1320"/>
        <w:spacing w:after="0"/>
        <w:tabs>
          <w:tab w:leader="none" w:pos="656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19685</wp:posOffset>
            </wp:positionV>
            <wp:extent cx="19456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9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Customer *** Boeing to complete all necessary actions including, but not limited to, the Initial Technical Coordination Meeting (</w:t>
      </w:r>
      <w:r>
        <w:rPr>
          <w:rFonts w:ascii="Times New Roman" w:cs="Times New Roman" w:eastAsia="Times New Roman" w:hAnsi="Times New Roman"/>
          <w:sz w:val="22"/>
          <w:szCs w:val="22"/>
          <w:b w:val="1"/>
          <w:bCs w:val="1"/>
          <w:color w:val="auto"/>
        </w:rPr>
        <w:t>ITCM</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On-dock Dates and Other Information</w:t>
      </w:r>
      <w:r>
        <w:rPr>
          <w:rFonts w:ascii="Times New Roman" w:cs="Times New Roman" w:eastAsia="Times New Roman" w:hAnsi="Times New Roman"/>
          <w:sz w:val="22"/>
          <w:szCs w:val="22"/>
          <w:color w:val="auto"/>
        </w:rPr>
        <w:t>.</w:t>
      </w:r>
    </w:p>
    <w:p>
      <w:pPr>
        <w:spacing w:after="0" w:line="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Boeing will provide to Customer the BFE requirements, electronically in My Boeing Fleet (</w:t>
      </w:r>
      <w:r>
        <w:rPr>
          <w:rFonts w:ascii="Times New Roman" w:cs="Times New Roman" w:eastAsia="Times New Roman" w:hAnsi="Times New Roman"/>
          <w:sz w:val="22"/>
          <w:szCs w:val="22"/>
          <w:b w:val="1"/>
          <w:bCs w:val="1"/>
          <w:color w:val="auto"/>
        </w:rPr>
        <w:t>MBF</w:t>
      </w:r>
      <w:r>
        <w:rPr>
          <w:rFonts w:ascii="Times New Roman" w:cs="Times New Roman" w:eastAsia="Times New Roman" w:hAnsi="Times New Roman"/>
          <w:sz w:val="22"/>
          <w:szCs w:val="22"/>
          <w:color w:val="auto"/>
        </w:rPr>
        <w:t>) through My Boeing Configuration (</w:t>
      </w:r>
      <w:r>
        <w:rPr>
          <w:rFonts w:ascii="Times New Roman" w:cs="Times New Roman" w:eastAsia="Times New Roman" w:hAnsi="Times New Roman"/>
          <w:sz w:val="22"/>
          <w:szCs w:val="22"/>
          <w:b w:val="1"/>
          <w:bCs w:val="1"/>
          <w:color w:val="auto"/>
        </w:rPr>
        <w:t>MBC</w:t>
      </w:r>
      <w:r>
        <w:rPr>
          <w:rFonts w:ascii="Times New Roman" w:cs="Times New Roman" w:eastAsia="Times New Roman" w:hAnsi="Times New Roman"/>
          <w:sz w:val="22"/>
          <w:szCs w:val="22"/>
          <w:color w:val="auto"/>
        </w:rPr>
        <w:t>) or by other means, setting forth the items, quantities, technical reviews, on-dock dates, shipping instructions and other requirements relating to the in-sequence installation of BFE. These requirements may be periodically revised by Boeing. Customer’s and Boeing’s rights and obligations set forth in Exhibit A to the AGTA apply to the BFE requirements in this Supplemental Exhibit BFE1. For planning purposes, the *** preliminary BFE seat requirements and the preliminary on-dock dates for all BFE items are provided below.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UAL-PA-04815-BFE1 *** 787-***</w:t>
      </w:r>
      <w:r>
        <w:rPr>
          <w:sz w:val="20"/>
          <w:szCs w:val="20"/>
          <w:color w:val="auto"/>
        </w:rPr>
        <w:tab/>
      </w:r>
      <w:r>
        <w:rPr>
          <w:rFonts w:ascii="Times New Roman" w:cs="Times New Roman" w:eastAsia="Times New Roman" w:hAnsi="Times New Roman"/>
          <w:sz w:val="21"/>
          <w:szCs w:val="21"/>
          <w:color w:val="auto"/>
        </w:rPr>
        <w:t>SA-15, Page 2</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013" w:right="339" w:bottom="1440" w:gutter="0" w:footer="0" w:header="0"/>
        </w:sectPr>
      </w:pPr>
    </w:p>
    <w:bookmarkStart w:id="169" w:name="page170"/>
    <w:bookmarkEnd w:id="169"/>
    <w:p>
      <w:pPr>
        <w:spacing w:after="0" w:line="25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below “Completion Date” represents the first (1st) day of the month by when the specific milestone must be completed to support the BFE seat program.</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320" w:type="dxa"/>
            <w:vAlign w:val="bottom"/>
            <w:tcBorders>
              <w:right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spacing w:after="0"/>
              <w:rPr>
                <w:sz w:val="24"/>
                <w:szCs w:val="24"/>
                <w:color w:val="auto"/>
              </w:rPr>
            </w:pPr>
          </w:p>
        </w:tc>
        <w:tc>
          <w:tcPr>
            <w:tcW w:w="2800" w:type="dxa"/>
            <w:vAlign w:val="bottom"/>
            <w:tcBorders>
              <w:top w:val="single" w:sz="8" w:color="auto"/>
              <w:bottom w:val="single" w:sz="8" w:color="auto"/>
              <w:right w:val="single" w:sz="8" w:color="auto"/>
            </w:tcBorders>
          </w:tcPr>
          <w:p>
            <w:pPr>
              <w:jc w:val="right"/>
              <w:ind w:right="1772"/>
              <w:spacing w:after="0"/>
              <w:rPr>
                <w:sz w:val="20"/>
                <w:szCs w:val="20"/>
                <w:color w:val="auto"/>
              </w:rPr>
            </w:pPr>
            <w:r>
              <w:rPr>
                <w:rFonts w:ascii="Times New Roman" w:cs="Times New Roman" w:eastAsia="Times New Roman" w:hAnsi="Times New Roman"/>
                <w:sz w:val="22"/>
                <w:szCs w:val="22"/>
                <w:b w:val="1"/>
                <w:bCs w:val="1"/>
                <w:color w:val="auto"/>
                <w:w w:val="98"/>
              </w:rPr>
              <w:t>Milestone</w:t>
            </w:r>
          </w:p>
        </w:tc>
        <w:tc>
          <w:tcPr>
            <w:tcW w:w="2240" w:type="dxa"/>
            <w:vAlign w:val="bottom"/>
            <w:tcBorders>
              <w:top w:val="single" w:sz="8" w:color="auto"/>
              <w:bottom w:val="single" w:sz="8" w:color="auto"/>
              <w:right w:val="single" w:sz="8" w:color="auto"/>
            </w:tcBorders>
          </w:tcPr>
          <w:p>
            <w:pPr>
              <w:spacing w:after="0"/>
              <w:rPr>
                <w:sz w:val="24"/>
                <w:szCs w:val="24"/>
                <w:color w:val="auto"/>
              </w:rPr>
            </w:pPr>
          </w:p>
        </w:tc>
      </w:tr>
      <w:tr>
        <w:trPr>
          <w:trHeight w:val="263"/>
        </w:trPr>
        <w:tc>
          <w:tcPr>
            <w:tcW w:w="1320" w:type="dxa"/>
            <w:vAlign w:val="bottom"/>
            <w:tcBorders>
              <w:right w:val="single" w:sz="8" w:color="auto"/>
            </w:tcBorders>
          </w:tcPr>
          <w:p>
            <w:pPr>
              <w:spacing w:after="0"/>
              <w:rPr>
                <w:sz w:val="22"/>
                <w:szCs w:val="22"/>
                <w:color w:val="auto"/>
              </w:rPr>
            </w:pPr>
          </w:p>
        </w:tc>
        <w:tc>
          <w:tcPr>
            <w:tcW w:w="1840" w:type="dxa"/>
            <w:vAlign w:val="bottom"/>
            <w:tcBorders>
              <w:bottom w:val="single" w:sz="8" w:color="auto"/>
            </w:tcBorders>
          </w:tcPr>
          <w:p>
            <w:pPr>
              <w:jc w:val="right"/>
              <w:ind w:right="1192"/>
              <w:spacing w:after="0"/>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r>
      <w:tr>
        <w:trPr>
          <w:trHeight w:val="948"/>
        </w:trPr>
        <w:tc>
          <w:tcPr>
            <w:tcW w:w="3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7"/>
              </w:rPr>
              <w:t>UAL-PA-04815-BFE1 *** 787-***</w:t>
            </w:r>
          </w:p>
        </w:tc>
        <w:tc>
          <w:tcPr>
            <w:tcW w:w="5040" w:type="dxa"/>
            <w:vAlign w:val="bottom"/>
            <w:gridSpan w:val="2"/>
          </w:tcPr>
          <w:p>
            <w:pPr>
              <w:jc w:val="right"/>
              <w:ind w:right="3492"/>
              <w:spacing w:after="0"/>
              <w:rPr>
                <w:sz w:val="20"/>
                <w:szCs w:val="20"/>
                <w:color w:val="auto"/>
              </w:rPr>
            </w:pPr>
            <w:r>
              <w:rPr>
                <w:rFonts w:ascii="Times New Roman" w:cs="Times New Roman" w:eastAsia="Times New Roman" w:hAnsi="Times New Roman"/>
                <w:sz w:val="22"/>
                <w:szCs w:val="22"/>
                <w:color w:val="auto"/>
              </w:rPr>
              <w:t>SA-15, Page 3</w:t>
            </w:r>
          </w:p>
        </w:tc>
      </w:tr>
      <w:tr>
        <w:trPr>
          <w:trHeight w:val="286"/>
        </w:trPr>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040" w:type="dxa"/>
            <w:vAlign w:val="bottom"/>
            <w:gridSpan w:val="2"/>
          </w:tcPr>
          <w:p>
            <w:pPr>
              <w:jc w:val="right"/>
              <w:ind w:right="1232"/>
              <w:spacing w:after="0"/>
              <w:rPr>
                <w:sz w:val="20"/>
                <w:szCs w:val="20"/>
                <w:color w:val="auto"/>
              </w:rPr>
            </w:pPr>
            <w:r>
              <w:rPr>
                <w:rFonts w:ascii="Times New Roman" w:cs="Times New Roman" w:eastAsia="Times New Roman" w:hAnsi="Times New Roman"/>
                <w:sz w:val="22"/>
                <w:szCs w:val="22"/>
                <w:b w:val="1"/>
                <w:bCs w:val="1"/>
                <w:color w:val="auto"/>
              </w:rPr>
              <w:t>BOEING PROPRIETARY</w:t>
            </w:r>
          </w:p>
        </w:tc>
      </w:tr>
    </w:tbl>
    <w:p>
      <w:pPr>
        <w:sectPr>
          <w:pgSz w:w="11900" w:h="16838" w:orient="portrait"/>
          <w:cols w:equalWidth="0" w:num="1">
            <w:col w:w="11240"/>
          </w:cols>
          <w:pgMar w:left="320" w:top="1440" w:right="339" w:bottom="1440" w:gutter="0" w:footer="0" w:header="0"/>
        </w:sectPr>
      </w:pPr>
    </w:p>
    <w:bookmarkStart w:id="170" w:name="page171"/>
    <w:bookmarkEnd w:id="17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Preliminary On-Dock for All BFE Items: FOR FIRST *** Implemented *** 787-*** Aircraft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Note: All requirements are set forth below. If a *** is listed, the due date is the *** of ***. If no date is listed, there is no</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requirement.)</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440" w:type="dxa"/>
            <w:vAlign w:val="bottom"/>
            <w:tcBorders>
              <w:right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MSN</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900" w:type="dxa"/>
            <w:vAlign w:val="bottom"/>
            <w:tcBorders>
              <w:top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MSN</w:t>
            </w: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 Aircraft</w:t>
            </w:r>
          </w:p>
        </w:tc>
        <w:tc>
          <w:tcPr>
            <w:tcW w:w="21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(subject to change until</w:t>
            </w:r>
          </w:p>
        </w:tc>
        <w:tc>
          <w:tcPr>
            <w:tcW w:w="14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Aircraft Delivery</w:t>
            </w:r>
          </w:p>
        </w:tc>
        <w:tc>
          <w:tcPr>
            <w:tcW w:w="1900" w:type="dxa"/>
            <w:vAlign w:val="bottom"/>
            <w:tcBorders>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(subject to change until</w:t>
            </w:r>
          </w:p>
        </w:tc>
        <w:tc>
          <w:tcPr>
            <w:tcW w:w="1540" w:type="dxa"/>
            <w:vAlign w:val="bottom"/>
            <w:tcBorders>
              <w:right w:val="single" w:sz="8" w:color="auto"/>
            </w:tcBorders>
            <w:vMerge w:val="continue"/>
          </w:tcPr>
          <w:p>
            <w:pPr>
              <w:spacing w:after="0"/>
              <w:rPr>
                <w:sz w:val="14"/>
                <w:szCs w:val="14"/>
                <w:color w:val="auto"/>
              </w:rPr>
            </w:pPr>
          </w:p>
        </w:tc>
        <w:tc>
          <w:tcPr>
            <w:tcW w:w="2180" w:type="dxa"/>
            <w:vAlign w:val="bottom"/>
            <w:tcBorders>
              <w:right w:val="single" w:sz="8" w:color="auto"/>
            </w:tcBorders>
            <w:vMerge w:val="restart"/>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delivery)</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righ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delivery)</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Delivery ***</w:t>
            </w:r>
          </w:p>
        </w:tc>
        <w:tc>
          <w:tcPr>
            <w:tcW w:w="21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 w:type="dxa"/>
            <w:vAlign w:val="bottom"/>
            <w:tcBorders>
              <w:right w:val="single" w:sz="8" w:color="auto"/>
            </w:tcBorders>
            <w:vMerge w:val="continue"/>
          </w:tcPr>
          <w:p>
            <w:pPr>
              <w:spacing w:after="0"/>
              <w:rPr>
                <w:sz w:val="21"/>
                <w:szCs w:val="21"/>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right w:val="single" w:sz="8" w:color="auto"/>
            </w:tcBorders>
          </w:tcPr>
          <w:p>
            <w:pPr>
              <w:jc w:val="right"/>
              <w:ind w:right="468"/>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Borders>
              <w:bottom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UAL-PA-04815-BFE1 *** 787-***</w:t>
      </w:r>
      <w:r>
        <w:rPr>
          <w:sz w:val="20"/>
          <w:szCs w:val="20"/>
          <w:color w:val="auto"/>
        </w:rPr>
        <w:tab/>
      </w:r>
      <w:r>
        <w:rPr>
          <w:rFonts w:ascii="Times New Roman" w:cs="Times New Roman" w:eastAsia="Times New Roman" w:hAnsi="Times New Roman"/>
          <w:sz w:val="21"/>
          <w:szCs w:val="21"/>
          <w:color w:val="auto"/>
        </w:rPr>
        <w:t>SA-15, Page 4</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60"/>
          </w:cols>
          <w:pgMar w:left="320" w:top="1013" w:right="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t>***</w:t>
      </w:r>
    </w:p>
    <w:p>
      <w:pPr>
        <w:spacing w:after="0" w:line="85"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Delivery Requirements - Import</w:t>
      </w:r>
      <w:r>
        <w:rPr>
          <w:rFonts w:ascii="Times New Roman" w:cs="Times New Roman" w:eastAsia="Times New Roman" w:hAnsi="Times New Roman"/>
          <w:sz w:val="22"/>
          <w:szCs w:val="22"/>
          <w:color w:val="auto"/>
        </w:rPr>
        <w:t>.</w:t>
      </w:r>
    </w:p>
    <w:p>
      <w:pPr>
        <w:spacing w:after="0" w:line="9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Customer will be the </w:t>
      </w:r>
      <w:r>
        <w:rPr>
          <w:rFonts w:ascii="Times New Roman" w:cs="Times New Roman" w:eastAsia="Times New Roman" w:hAnsi="Times New Roman"/>
          <w:sz w:val="22"/>
          <w:szCs w:val="22"/>
          <w:b w:val="1"/>
          <w:bCs w:val="1"/>
          <w:color w:val="auto"/>
        </w:rPr>
        <w:t>importer of record</w:t>
      </w:r>
      <w:r>
        <w:rPr>
          <w:rFonts w:ascii="Times New Roman" w:cs="Times New Roman" w:eastAsia="Times New Roman" w:hAnsi="Times New Roman"/>
          <w:sz w:val="22"/>
          <w:szCs w:val="22"/>
          <w:color w:val="auto"/>
        </w:rPr>
        <w:t xml:space="preserve"> (as defined by U.S. Customs and Border Protection) for all BFE imported into the United States, and as such, it has the responsibility to ensure all of Customer’s BFE shipments comply with U.S. Customs Service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UAL-PA-04815-BFE1 *** 787-***</w:t>
      </w:r>
      <w:r>
        <w:rPr>
          <w:sz w:val="20"/>
          <w:szCs w:val="20"/>
          <w:color w:val="auto"/>
        </w:rPr>
        <w:tab/>
      </w:r>
      <w:r>
        <w:rPr>
          <w:rFonts w:ascii="Times New Roman" w:cs="Times New Roman" w:eastAsia="Times New Roman" w:hAnsi="Times New Roman"/>
          <w:sz w:val="21"/>
          <w:szCs w:val="21"/>
          <w:color w:val="auto"/>
        </w:rPr>
        <w:t>SA-15, Page 5</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125" w:right="339" w:bottom="1440" w:gutter="0" w:footer="0" w:header="0"/>
        </w:sectPr>
      </w:pPr>
    </w:p>
    <w:bookmarkStart w:id="172" w:name="page173"/>
    <w:bookmarkEnd w:id="172"/>
    <w:p>
      <w:pPr>
        <w:ind w:left="8440"/>
        <w:spacing w:after="0"/>
        <w:rPr>
          <w:sz w:val="20"/>
          <w:szCs w:val="20"/>
          <w:color w:val="auto"/>
        </w:rPr>
      </w:pPr>
      <w:r>
        <w:rPr>
          <w:rFonts w:ascii="Arial" w:cs="Arial" w:eastAsia="Arial" w:hAnsi="Arial"/>
          <w:sz w:val="18"/>
          <w:szCs w:val="18"/>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1560195" cy="3600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93">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Seattle, WA 98124 2207</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UAL-PA-04815-LA-1802886R7</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1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Special Matters</w:t>
      </w:r>
    </w:p>
    <w:p>
      <w:pPr>
        <w:spacing w:after="0" w:line="108" w:lineRule="exact"/>
        <w:rPr>
          <w:sz w:val="20"/>
          <w:szCs w:val="20"/>
          <w:color w:val="auto"/>
        </w:rPr>
      </w:pPr>
    </w:p>
    <w:p>
      <w:pPr>
        <w:jc w:val="both"/>
        <w:ind w:left="1300" w:hanging="1295"/>
        <w:spacing w:after="0" w:line="287" w:lineRule="auto"/>
        <w:tabs>
          <w:tab w:leader="none" w:pos="1280" w:val="left"/>
        </w:tabs>
        <w:rPr>
          <w:sz w:val="20"/>
          <w:szCs w:val="20"/>
          <w:color w:val="auto"/>
        </w:rPr>
      </w:pPr>
      <w:r>
        <w:rPr>
          <w:rFonts w:ascii="Times New Roman" w:cs="Times New Roman" w:eastAsia="Times New Roman" w:hAnsi="Times New Roman"/>
          <w:sz w:val="22"/>
          <w:szCs w:val="22"/>
          <w:color w:val="auto"/>
        </w:rPr>
        <w:t>Reference:</w:t>
      </w:r>
      <w:r>
        <w:rPr>
          <w:sz w:val="20"/>
          <w:szCs w:val="20"/>
          <w:color w:val="auto"/>
        </w:rPr>
        <w:tab/>
      </w:r>
      <w:r>
        <w:rPr>
          <w:rFonts w:ascii="Times New Roman" w:cs="Times New Roman" w:eastAsia="Times New Roman" w:hAnsi="Times New Roman"/>
          <w:sz w:val="22"/>
          <w:szCs w:val="22"/>
          <w:color w:val="auto"/>
        </w:rPr>
        <w:t>Purchase Agreement No. 04815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787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5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amends and supplements the Purchase Agreement. All terms used but not defined in this Letter Agreement will have the same meaning as in the Purchase Agreement. This Letter Agreement replaces and supersedes Letter Agreement UAL-PA-04815-LA-1802886R6, dated October 24, 2024, in its entirety.</w:t>
      </w:r>
    </w:p>
    <w:p>
      <w:pPr>
        <w:spacing w:after="0" w:line="165"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787-***</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consideration of Customer's purchase of 787-*** Aircraft, Boeing *** at the time of delivery of each 787-***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Aircraft and 787-*** Aircraft, *** to Customer ***. The *** is subject to the *** as *** at the time of delivery. *** may ***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at the time of delivery for such Aircraft, or for the *** of Boeing *** and ***, but *** on Aircraft.</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787-***</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consideration of Customer's purchase of 787-*** Aircraft, Boeing *** at the time of delivery of each 787-***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Aircraft and 787-*** Aircraft, *** to Customer ***. The *** is subject to the *** as *** at the time of delivery. *** may ***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at the time of delivery for such Aircraft, or for the *** of Boeing *** and ***, but *** on Aircraft.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787-***</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consideration of Customer's purchase of 787-*** Aircraft, Boeing *** at the time of delivery of each 787-*** Aircraft and 787-*** Aircraft, *** to Customer ***. The *** is subject to the *** as *** at the time of delivery. *** may *** to *** at the time of delivery for such Aircraft, or for the *** of Boeing *** and ***, but *** on Aircraft.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UAL-PA-04815-LA-1802886R7</w:t>
            </w:r>
          </w:p>
        </w:tc>
        <w:tc>
          <w:tcPr>
            <w:tcW w:w="6940" w:type="dxa"/>
            <w:vAlign w:val="bottom"/>
          </w:tcPr>
          <w:p>
            <w:pPr>
              <w:ind w:left="6360"/>
              <w:spacing w:after="0"/>
              <w:rPr>
                <w:sz w:val="20"/>
                <w:szCs w:val="20"/>
                <w:color w:val="auto"/>
              </w:rPr>
            </w:pPr>
            <w:r>
              <w:rPr>
                <w:rFonts w:ascii="Times New Roman" w:cs="Times New Roman" w:eastAsia="Times New Roman" w:hAnsi="Times New Roman"/>
                <w:sz w:val="22"/>
                <w:szCs w:val="22"/>
                <w:color w:val="auto"/>
                <w:w w:val="97"/>
              </w:rPr>
              <w:t>SA-15</w:t>
            </w:r>
          </w:p>
        </w:tc>
        <w:tc>
          <w:tcPr>
            <w:tcW w:w="0" w:type="dxa"/>
            <w:vAlign w:val="bottom"/>
          </w:tcPr>
          <w:p>
            <w:pPr>
              <w:spacing w:after="0"/>
              <w:rPr>
                <w:sz w:val="1"/>
                <w:szCs w:val="1"/>
                <w:color w:val="auto"/>
              </w:rPr>
            </w:pPr>
          </w:p>
        </w:tc>
      </w:tr>
      <w:tr>
        <w:trPr>
          <w:trHeight w:val="282"/>
        </w:trPr>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Special Matters</w:t>
            </w:r>
          </w:p>
        </w:tc>
        <w:tc>
          <w:tcPr>
            <w:tcW w:w="6940" w:type="dxa"/>
            <w:vAlign w:val="bottom"/>
          </w:tcPr>
          <w:p>
            <w:pPr>
              <w:ind w:left="6360"/>
              <w:spacing w:after="0"/>
              <w:rPr>
                <w:sz w:val="20"/>
                <w:szCs w:val="20"/>
                <w:color w:val="auto"/>
              </w:rPr>
            </w:pPr>
            <w:r>
              <w:rPr>
                <w:rFonts w:ascii="Times New Roman" w:cs="Times New Roman" w:eastAsia="Times New Roman" w:hAnsi="Times New Roman"/>
                <w:sz w:val="22"/>
                <w:szCs w:val="22"/>
                <w:color w:val="auto"/>
                <w:w w:val="94"/>
              </w:rPr>
              <w:t>Page 1</w:t>
            </w:r>
          </w:p>
        </w:tc>
        <w:tc>
          <w:tcPr>
            <w:tcW w:w="0" w:type="dxa"/>
            <w:vAlign w:val="bottom"/>
          </w:tcPr>
          <w:p>
            <w:pPr>
              <w:spacing w:after="0"/>
              <w:rPr>
                <w:sz w:val="1"/>
                <w:szCs w:val="1"/>
                <w:color w:val="auto"/>
              </w:rPr>
            </w:pPr>
          </w:p>
        </w:tc>
      </w:tr>
      <w:tr>
        <w:trPr>
          <w:trHeight w:val="418"/>
        </w:trPr>
        <w:tc>
          <w:tcPr>
            <w:tcW w:w="29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4901-5271-0275</w:t>
            </w:r>
          </w:p>
        </w:tc>
        <w:tc>
          <w:tcPr>
            <w:tcW w:w="69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tc>
        <w:tc>
          <w:tcPr>
            <w:tcW w:w="0" w:type="dxa"/>
            <w:vAlign w:val="bottom"/>
          </w:tcPr>
          <w:p>
            <w:pPr>
              <w:spacing w:after="0"/>
              <w:rPr>
                <w:sz w:val="1"/>
                <w:szCs w:val="1"/>
                <w:color w:val="auto"/>
              </w:rPr>
            </w:pPr>
          </w:p>
        </w:tc>
      </w:tr>
      <w:tr>
        <w:trPr>
          <w:trHeight w:val="134"/>
        </w:trPr>
        <w:tc>
          <w:tcPr>
            <w:tcW w:w="2980" w:type="dxa"/>
            <w:vAlign w:val="bottom"/>
            <w:vMerge w:val="continue"/>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18" w:right="339"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3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Boeing *** to Customer ***.</w:t>
      </w:r>
    </w:p>
    <w:p>
      <w:pPr>
        <w:spacing w:after="0" w:line="220"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entitled “Assignment Matters”, the rights and obligations described in this Letter Agreement are provided to Customer in consideration of Customer’s becoming the operator of the Aircraft and cannot be assigned in whole or, in part.</w:t>
      </w:r>
    </w:p>
    <w:p>
      <w:pPr>
        <w:spacing w:after="0" w:line="186"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 entitled “Privileged and Confidential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87" w:lineRule="exact"/>
        <w:rPr>
          <w:sz w:val="20"/>
          <w:szCs w:val="20"/>
          <w:color w:val="auto"/>
        </w:rPr>
      </w:pPr>
    </w:p>
    <w:p>
      <w:pPr>
        <w:ind w:left="160"/>
        <w:spacing w:after="0"/>
        <w:tabs>
          <w:tab w:leader="none" w:pos="1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19685</wp:posOffset>
            </wp:positionV>
            <wp:extent cx="3497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9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67" w:lineRule="exact"/>
        <w:rPr>
          <w:sz w:val="20"/>
          <w:szCs w:val="20"/>
          <w:color w:val="auto"/>
        </w:rPr>
      </w:pPr>
    </w:p>
    <w:p>
      <w:pPr>
        <w:ind w:left="160"/>
        <w:spacing w:after="0"/>
        <w:tabs>
          <w:tab w:leader="none" w:pos="10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19685</wp:posOffset>
            </wp:positionV>
            <wp:extent cx="3497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9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UAL-PA-04815-LA-1802886R7</w:t>
            </w:r>
          </w:p>
        </w:tc>
        <w:tc>
          <w:tcPr>
            <w:tcW w:w="6540" w:type="dxa"/>
            <w:vAlign w:val="bottom"/>
          </w:tcPr>
          <w:p>
            <w:pPr>
              <w:ind w:left="5960"/>
              <w:spacing w:after="0"/>
              <w:rPr>
                <w:sz w:val="20"/>
                <w:szCs w:val="20"/>
                <w:color w:val="auto"/>
              </w:rPr>
            </w:pPr>
            <w:r>
              <w:rPr>
                <w:rFonts w:ascii="Times New Roman" w:cs="Times New Roman" w:eastAsia="Times New Roman" w:hAnsi="Times New Roman"/>
                <w:sz w:val="22"/>
                <w:szCs w:val="22"/>
                <w:color w:val="auto"/>
                <w:w w:val="97"/>
              </w:rPr>
              <w:t>SA-15</w:t>
            </w:r>
          </w:p>
        </w:tc>
        <w:tc>
          <w:tcPr>
            <w:tcW w:w="0" w:type="dxa"/>
            <w:vAlign w:val="bottom"/>
          </w:tcPr>
          <w:p>
            <w:pPr>
              <w:spacing w:after="0"/>
              <w:rPr>
                <w:sz w:val="1"/>
                <w:szCs w:val="1"/>
                <w:color w:val="auto"/>
              </w:rPr>
            </w:pPr>
          </w:p>
        </w:tc>
      </w:tr>
      <w:tr>
        <w:trPr>
          <w:trHeight w:val="282"/>
        </w:trPr>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Special Matters</w:t>
            </w:r>
          </w:p>
        </w:tc>
        <w:tc>
          <w:tcPr>
            <w:tcW w:w="6540" w:type="dxa"/>
            <w:vAlign w:val="bottom"/>
          </w:tcPr>
          <w:p>
            <w:pPr>
              <w:ind w:left="5960"/>
              <w:spacing w:after="0"/>
              <w:rPr>
                <w:sz w:val="20"/>
                <w:szCs w:val="20"/>
                <w:color w:val="auto"/>
              </w:rPr>
            </w:pPr>
            <w:r>
              <w:rPr>
                <w:rFonts w:ascii="Times New Roman" w:cs="Times New Roman" w:eastAsia="Times New Roman" w:hAnsi="Times New Roman"/>
                <w:sz w:val="22"/>
                <w:szCs w:val="22"/>
                <w:color w:val="auto"/>
                <w:w w:val="94"/>
              </w:rPr>
              <w:t>Page 2</w:t>
            </w:r>
          </w:p>
        </w:tc>
        <w:tc>
          <w:tcPr>
            <w:tcW w:w="0" w:type="dxa"/>
            <w:vAlign w:val="bottom"/>
          </w:tcPr>
          <w:p>
            <w:pPr>
              <w:spacing w:after="0"/>
              <w:rPr>
                <w:sz w:val="1"/>
                <w:szCs w:val="1"/>
                <w:color w:val="auto"/>
              </w:rPr>
            </w:pPr>
          </w:p>
        </w:tc>
      </w:tr>
      <w:tr>
        <w:trPr>
          <w:trHeight w:val="351"/>
        </w:trPr>
        <w:tc>
          <w:tcPr>
            <w:tcW w:w="29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4901-5271-0275</w:t>
            </w:r>
          </w:p>
        </w:tc>
        <w:tc>
          <w:tcPr>
            <w:tcW w:w="65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tc>
        <w:tc>
          <w:tcPr>
            <w:tcW w:w="0" w:type="dxa"/>
            <w:vAlign w:val="bottom"/>
          </w:tcPr>
          <w:p>
            <w:pPr>
              <w:spacing w:after="0"/>
              <w:rPr>
                <w:sz w:val="1"/>
                <w:szCs w:val="1"/>
                <w:color w:val="auto"/>
              </w:rPr>
            </w:pPr>
          </w:p>
        </w:tc>
      </w:tr>
      <w:tr>
        <w:trPr>
          <w:trHeight w:val="148"/>
        </w:trPr>
        <w:tc>
          <w:tcPr>
            <w:tcW w:w="2980" w:type="dxa"/>
            <w:vAlign w:val="bottom"/>
            <w:vMerge w:val="continue"/>
          </w:tcPr>
          <w:p>
            <w:pPr>
              <w:spacing w:after="0"/>
              <w:rPr>
                <w:sz w:val="12"/>
                <w:szCs w:val="12"/>
                <w:color w:val="auto"/>
              </w:rPr>
            </w:pPr>
          </w:p>
        </w:tc>
        <w:tc>
          <w:tcPr>
            <w:tcW w:w="6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6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December 30, 2025</w:t>
            </w:r>
          </w:p>
        </w:tc>
        <w:tc>
          <w:tcPr>
            <w:tcW w:w="820" w:type="dxa"/>
            <w:vAlign w:val="bottom"/>
          </w:tcPr>
          <w:p>
            <w:pPr>
              <w:spacing w:after="0"/>
              <w:rPr>
                <w:sz w:val="24"/>
                <w:szCs w:val="24"/>
                <w:color w:val="auto"/>
              </w:rPr>
            </w:pPr>
          </w:p>
        </w:tc>
      </w:tr>
      <w:tr>
        <w:trPr>
          <w:trHeight w:val="519"/>
        </w:trPr>
        <w:tc>
          <w:tcPr>
            <w:tcW w:w="82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5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 John Gebo</w:t>
            </w:r>
          </w:p>
        </w:tc>
        <w:tc>
          <w:tcPr>
            <w:tcW w:w="820" w:type="dxa"/>
            <w:vAlign w:val="bottom"/>
            <w:tcBorders>
              <w:bottom w:val="single" w:sz="8" w:color="auto"/>
            </w:tcBorders>
          </w:tcPr>
          <w:p>
            <w:pPr>
              <w:spacing w:after="0"/>
              <w:rPr>
                <w:sz w:val="24"/>
                <w:szCs w:val="24"/>
                <w:color w:val="auto"/>
              </w:rPr>
            </w:pPr>
          </w:p>
        </w:tc>
      </w:tr>
      <w:tr>
        <w:trPr>
          <w:trHeight w:val="555"/>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160" w:type="dxa"/>
            <w:vAlign w:val="bottom"/>
          </w:tcPr>
          <w:p>
            <w:pPr>
              <w:spacing w:after="0"/>
              <w:rPr>
                <w:sz w:val="24"/>
                <w:szCs w:val="24"/>
                <w:color w:val="auto"/>
              </w:rPr>
            </w:pPr>
          </w:p>
        </w:tc>
        <w:tc>
          <w:tcPr>
            <w:tcW w:w="6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SVP Treasury, Fleet &amp; Fuel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UAL-PA-04815-LA-1802886R7</w:t>
            </w:r>
          </w:p>
        </w:tc>
        <w:tc>
          <w:tcPr>
            <w:tcW w:w="6300" w:type="dxa"/>
            <w:vAlign w:val="bottom"/>
          </w:tcPr>
          <w:p>
            <w:pPr>
              <w:ind w:left="5720"/>
              <w:spacing w:after="0"/>
              <w:rPr>
                <w:sz w:val="20"/>
                <w:szCs w:val="20"/>
                <w:color w:val="auto"/>
              </w:rPr>
            </w:pPr>
            <w:r>
              <w:rPr>
                <w:rFonts w:ascii="Times New Roman" w:cs="Times New Roman" w:eastAsia="Times New Roman" w:hAnsi="Times New Roman"/>
                <w:sz w:val="22"/>
                <w:szCs w:val="22"/>
                <w:color w:val="auto"/>
                <w:w w:val="97"/>
              </w:rPr>
              <w:t>SA-15</w:t>
            </w:r>
          </w:p>
        </w:tc>
        <w:tc>
          <w:tcPr>
            <w:tcW w:w="0" w:type="dxa"/>
            <w:vAlign w:val="bottom"/>
          </w:tcPr>
          <w:p>
            <w:pPr>
              <w:spacing w:after="0"/>
              <w:rPr>
                <w:sz w:val="1"/>
                <w:szCs w:val="1"/>
                <w:color w:val="auto"/>
              </w:rPr>
            </w:pPr>
          </w:p>
        </w:tc>
      </w:tr>
      <w:tr>
        <w:trPr>
          <w:trHeight w:val="282"/>
        </w:trPr>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Special Matters</w:t>
            </w:r>
          </w:p>
        </w:tc>
        <w:tc>
          <w:tcPr>
            <w:tcW w:w="6300" w:type="dxa"/>
            <w:vAlign w:val="bottom"/>
          </w:tcPr>
          <w:p>
            <w:pPr>
              <w:ind w:left="5720"/>
              <w:spacing w:after="0"/>
              <w:rPr>
                <w:sz w:val="20"/>
                <w:szCs w:val="20"/>
                <w:color w:val="auto"/>
              </w:rPr>
            </w:pPr>
            <w:r>
              <w:rPr>
                <w:rFonts w:ascii="Times New Roman" w:cs="Times New Roman" w:eastAsia="Times New Roman" w:hAnsi="Times New Roman"/>
                <w:sz w:val="22"/>
                <w:szCs w:val="22"/>
                <w:color w:val="auto"/>
                <w:w w:val="94"/>
              </w:rPr>
              <w:t>Page 3</w:t>
            </w:r>
          </w:p>
        </w:tc>
        <w:tc>
          <w:tcPr>
            <w:tcW w:w="0" w:type="dxa"/>
            <w:vAlign w:val="bottom"/>
          </w:tcPr>
          <w:p>
            <w:pPr>
              <w:spacing w:after="0"/>
              <w:rPr>
                <w:sz w:val="1"/>
                <w:szCs w:val="1"/>
                <w:color w:val="auto"/>
              </w:rPr>
            </w:pPr>
          </w:p>
        </w:tc>
      </w:tr>
      <w:tr>
        <w:trPr>
          <w:trHeight w:val="405"/>
        </w:trPr>
        <w:tc>
          <w:tcPr>
            <w:tcW w:w="29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4901-5271-0275</w:t>
            </w:r>
          </w:p>
        </w:tc>
        <w:tc>
          <w:tcPr>
            <w:tcW w:w="6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tc>
        <w:tc>
          <w:tcPr>
            <w:tcW w:w="0" w:type="dxa"/>
            <w:vAlign w:val="bottom"/>
          </w:tcPr>
          <w:p>
            <w:pPr>
              <w:spacing w:after="0"/>
              <w:rPr>
                <w:sz w:val="1"/>
                <w:szCs w:val="1"/>
                <w:color w:val="auto"/>
              </w:rPr>
            </w:pPr>
          </w:p>
        </w:tc>
      </w:tr>
      <w:tr>
        <w:trPr>
          <w:trHeight w:val="148"/>
        </w:trPr>
        <w:tc>
          <w:tcPr>
            <w:tcW w:w="2980" w:type="dxa"/>
            <w:vAlign w:val="bottom"/>
            <w:vMerge w:val="continue"/>
          </w:tcPr>
          <w:p>
            <w:pPr>
              <w:spacing w:after="0"/>
              <w:rPr>
                <w:sz w:val="12"/>
                <w:szCs w:val="12"/>
                <w:color w:val="auto"/>
              </w:rPr>
            </w:pPr>
          </w:p>
        </w:tc>
        <w:tc>
          <w:tcPr>
            <w:tcW w:w="6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175" w:name="page176"/>
    <w:bookmarkEnd w:id="175"/>
    <w:p>
      <w:pPr>
        <w:ind w:left="87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68450" cy="360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t>The Boeing Company</w:t>
      </w:r>
    </w:p>
    <w:p>
      <w:pPr>
        <w:ind w:left="8720"/>
        <w:spacing w:after="0" w:line="219" w:lineRule="auto"/>
        <w:rPr>
          <w:sz w:val="20"/>
          <w:szCs w:val="20"/>
          <w:color w:val="auto"/>
        </w:rPr>
      </w:pPr>
      <w:r>
        <w:rPr>
          <w:rFonts w:ascii="Times New Roman" w:cs="Times New Roman" w:eastAsia="Times New Roman" w:hAnsi="Times New Roman"/>
          <w:sz w:val="18"/>
          <w:szCs w:val="18"/>
          <w:color w:val="auto"/>
        </w:rPr>
        <w:t>P.O. Box 3707</w:t>
      </w:r>
    </w:p>
    <w:p>
      <w:pPr>
        <w:ind w:left="8720"/>
        <w:spacing w:after="0"/>
        <w:rPr>
          <w:sz w:val="20"/>
          <w:szCs w:val="20"/>
          <w:color w:val="auto"/>
        </w:rPr>
      </w:pPr>
      <w:r>
        <w:rPr>
          <w:rFonts w:ascii="Times New Roman" w:cs="Times New Roman" w:eastAsia="Times New Roman" w:hAnsi="Times New Roman"/>
          <w:sz w:val="18"/>
          <w:szCs w:val="18"/>
          <w:color w:val="auto"/>
        </w:rPr>
        <w:t>Seattle, WA 98124 2207</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UAL-PA-04815-LA-1802891R3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3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w:t>
      </w:r>
    </w:p>
    <w:p>
      <w:pPr>
        <w:spacing w:after="0" w:line="108" w:lineRule="exact"/>
        <w:rPr>
          <w:sz w:val="20"/>
          <w:szCs w:val="20"/>
          <w:color w:val="auto"/>
        </w:rPr>
      </w:pPr>
    </w:p>
    <w:p>
      <w:pPr>
        <w:jc w:val="both"/>
        <w:ind w:left="1200" w:hanging="1295"/>
        <w:spacing w:after="0" w:line="287" w:lineRule="auto"/>
        <w:tabs>
          <w:tab w:leader="none" w:pos="1180" w:val="left"/>
        </w:tabs>
        <w:rPr>
          <w:sz w:val="20"/>
          <w:szCs w:val="20"/>
          <w:color w:val="auto"/>
        </w:rPr>
      </w:pPr>
      <w:r>
        <w:rPr>
          <w:rFonts w:ascii="Times New Roman" w:cs="Times New Roman" w:eastAsia="Times New Roman" w:hAnsi="Times New Roman"/>
          <w:sz w:val="22"/>
          <w:szCs w:val="22"/>
          <w:color w:val="auto"/>
        </w:rPr>
        <w:t>Reference:</w:t>
        <w:tab/>
        <w:t>Purchase Agreement 04815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787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218" w:lineRule="exact"/>
        <w:rPr>
          <w:sz w:val="20"/>
          <w:szCs w:val="20"/>
          <w:color w:val="auto"/>
        </w:rPr>
      </w:pPr>
    </w:p>
    <w:p>
      <w:pPr>
        <w:jc w:val="both"/>
        <w:ind w:firstLine="891"/>
        <w:spacing w:after="0" w:line="227"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amends and supplements the Purchase Agreement. All terms used but not defined in this Letter Agreement have the same meaning as in the Purchase Agreement. This Letter Agreement supersedes and replaces in its entirety Letter Agreement UAL-PA-04815-LA-1802891R2 dated December 12, 2022.</w:t>
      </w:r>
    </w:p>
    <w:p>
      <w:pPr>
        <w:spacing w:after="0" w:line="123"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auto"/>
        </w:rPr>
      </w:pPr>
    </w:p>
    <w:p>
      <w:pPr>
        <w:ind w:firstLine="656"/>
        <w:spacing w:after="0" w:line="275" w:lineRule="auto"/>
        <w:tabs>
          <w:tab w:leader="none" w:pos="1039"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 </w:t>
      </w:r>
      <w:r>
        <w:rPr>
          <w:rFonts w:ascii="Times New Roman" w:cs="Times New Roman" w:eastAsia="Times New Roman" w:hAnsi="Times New Roman"/>
          <w:sz w:val="22"/>
          <w:szCs w:val="22"/>
          <w:color w:val="auto"/>
        </w:rPr>
        <w:t>means the written communication provided by Boeing to Customer in accordance with the requirements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4.1, below.</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Program Aircraft </w:t>
      </w:r>
      <w:r>
        <w:rPr>
          <w:rFonts w:ascii="Times New Roman" w:cs="Times New Roman" w:eastAsia="Times New Roman" w:hAnsi="Times New Roman"/>
          <w:sz w:val="22"/>
          <w:szCs w:val="22"/>
          <w:color w:val="auto"/>
        </w:rPr>
        <w:t>means each Aircraft under the Purchase Agreement.</w:t>
      </w:r>
    </w:p>
    <w:p>
      <w:pPr>
        <w:spacing w:after="0" w:line="170"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 other provision of the Purchase Agreement to the contrary, the parties agree that the *** for each Program Aircraft shall be determined in accordance with this Letter Agreement.</w:t>
      </w:r>
    </w:p>
    <w:p>
      <w:pPr>
        <w:spacing w:after="0" w:line="104"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Forecast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Boeing will release an *** forecast in *** of each year based on Boeing’s then current standard ***. Only one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forecast shall be used to conduct the *** analysis performed in accordance with Article 4.1, below, for a given Program Aircraft.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 forecast applicable to a given Program Aircraft is set forth in Attachment A.</w:t>
      </w:r>
    </w:p>
    <w:p>
      <w:pPr>
        <w:spacing w:after="0" w:line="200" w:lineRule="exact"/>
        <w:rPr>
          <w:sz w:val="20"/>
          <w:szCs w:val="20"/>
          <w:color w:val="auto"/>
        </w:rPr>
      </w:pPr>
    </w:p>
    <w:p>
      <w:pPr>
        <w:spacing w:after="0" w:line="399"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22"/>
          <w:szCs w:val="22"/>
          <w:color w:val="auto"/>
        </w:rPr>
        <w:t>UAL-PA-04815-LA-1802891R3</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jc w:val="both"/>
        <w:ind w:left="9680"/>
        <w:spacing w:after="0"/>
        <w:tabs>
          <w:tab w:leader="none" w:pos="106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Page 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218" w:right="339" w:bottom="1440" w:gutter="0" w:footer="0" w:header="0"/>
        </w:sectPr>
      </w:pPr>
    </w:p>
    <w:bookmarkStart w:id="176" w:name="page177"/>
    <w:bookmarkEnd w:id="176"/>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8450" cy="3600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ind w:left="660" w:hanging="652"/>
        <w:spacing w:after="0"/>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0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3"/>
          <w:szCs w:val="23"/>
          <w:color w:val="auto"/>
        </w:rPr>
        <w:t>4.1   ***</w:t>
      </w:r>
    </w:p>
    <w:p>
      <w:pPr>
        <w:spacing w:after="0" w:line="132"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4.1.4 In the event that Boeing *** either the *** Notice as detailed in Article 4.1.2 or Article 4.1.3 and Customer ***, then Customer *** the Purchase Agreement with respect to such affected Program Aircraft.</w:t>
      </w:r>
    </w:p>
    <w:p>
      <w:pPr>
        <w:spacing w:after="0" w:line="1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3"/>
          <w:szCs w:val="23"/>
          <w:color w:val="auto"/>
        </w:rPr>
        <w:t>4.2 If Boeing provides Customer the *** described in Article 4.1.2 or Article 4.1.3 above, then Customer shall notify Boeing *** contained in Articles 4.1.2, 4.1.3, or 4.1.4 above within *** of its receipt of the *** Notice from Boeing. In the event Customer *** in accordance with Article 4.1.4 above, then Boeing *** to Customer, *** for the *** Program Aircraft.</w:t>
      </w:r>
    </w:p>
    <w:p>
      <w:pPr>
        <w:spacing w:after="0" w:line="7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4.2.4 Within *** of Boeing’s receipt of *** notice for any such *** Program Aircraft under Article 4.2 above, Boeing *** by written notice to Customer to *** related to such *** Program Aircraft ***, by Customer.</w:t>
      </w:r>
    </w:p>
    <w:p>
      <w:pPr>
        <w:spacing w:after="0" w:line="5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4.2.5 Should Customer *** any notice to Boeing in accordance with Article 4.2 above, then the *** for such Program Aircraft shall be *** in accordance with Article 4.1.2.</w:t>
      </w:r>
    </w:p>
    <w:p>
      <w:pPr>
        <w:spacing w:after="0" w:line="1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3"/>
          <w:szCs w:val="23"/>
          <w:color w:val="auto"/>
        </w:rPr>
        <w:t>4.3 In the event that the *** of a Program Aircraft that is subject to either Article 4.1.1, Article 4.1.2 or Article 4.1.3 above, *** applicable to such Program Aircraft will be determined pursuant to Article 5 below.</w:t>
      </w:r>
    </w:p>
    <w:p>
      <w:pPr>
        <w:spacing w:after="0" w:line="60" w:lineRule="exact"/>
        <w:rPr>
          <w:sz w:val="20"/>
          <w:szCs w:val="20"/>
          <w:color w:val="auto"/>
        </w:rPr>
      </w:pPr>
    </w:p>
    <w:p>
      <w:pPr>
        <w:ind w:left="720" w:hanging="712"/>
        <w:spacing w:after="0"/>
        <w:tabs>
          <w:tab w:leader="none" w:pos="7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9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3"/>
          <w:szCs w:val="23"/>
          <w:color w:val="auto"/>
        </w:rPr>
        <w:t>***</w:t>
      </w:r>
    </w:p>
    <w:p>
      <w:pPr>
        <w:spacing w:after="0" w:line="145" w:lineRule="exact"/>
        <w:rPr>
          <w:sz w:val="20"/>
          <w:szCs w:val="20"/>
          <w:color w:val="auto"/>
        </w:rPr>
      </w:pPr>
    </w:p>
    <w:p>
      <w:pPr>
        <w:ind w:left="720" w:hanging="712"/>
        <w:spacing w:after="0"/>
        <w:tabs>
          <w:tab w:leader="none" w:pos="7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166"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identified in the Purchase Agreement as subject to *** pursuant to Supplemental Exhibit AE1, and which pertains to the Program Aircraft shall be ***.</w:t>
      </w:r>
    </w:p>
    <w:p>
      <w:pPr>
        <w:spacing w:after="0" w:line="90"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entitled “Assignment Matters”, the rights and obligations described in this Letter Agreement are provided to Customer in consideration of Customer’s becoming the operator of the Aircraft and cannot be assigned in whole or, in part.</w:t>
      </w:r>
    </w:p>
    <w:p>
      <w:pPr>
        <w:spacing w:after="0" w:line="132"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 entitled “Privileged and Confidential Matters”.</w:t>
      </w:r>
    </w:p>
    <w:p>
      <w:pPr>
        <w:spacing w:after="0" w:line="200" w:lineRule="exact"/>
        <w:rPr>
          <w:sz w:val="20"/>
          <w:szCs w:val="20"/>
          <w:color w:val="auto"/>
        </w:rPr>
      </w:pPr>
    </w:p>
    <w:p>
      <w:pPr>
        <w:spacing w:after="0" w:line="378"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22"/>
          <w:szCs w:val="22"/>
          <w:color w:val="auto"/>
        </w:rPr>
        <w:t>UAL-PA-04815-LA-1802891R3</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jc w:val="both"/>
        <w:ind w:left="9680"/>
        <w:spacing w:after="0"/>
        <w:tabs>
          <w:tab w:leader="none" w:pos="106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Page 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8450" cy="360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87"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19685</wp:posOffset>
            </wp:positionV>
            <wp:extent cx="3463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0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67"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19685</wp:posOffset>
            </wp:positionV>
            <wp:extent cx="3463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0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22"/>
          <w:szCs w:val="22"/>
          <w:color w:val="auto"/>
        </w:rPr>
        <w:t>UAL-PA-04815-LA-1802891R3</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jc w:val="both"/>
        <w:ind w:left="9680"/>
        <w:spacing w:after="0"/>
        <w:tabs>
          <w:tab w:leader="none" w:pos="106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Page 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8450" cy="3600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87" w:lineRule="exact"/>
        <w:rPr>
          <w:sz w:val="20"/>
          <w:szCs w:val="20"/>
          <w:color w:val="auto"/>
        </w:rPr>
      </w:pPr>
    </w:p>
    <w:tbl>
      <w:tblPr>
        <w:tblLayout w:type="fixed"/>
        <w:tblInd w:w="180" w:type="dxa"/>
        <w:tblCellMar>
          <w:top w:w="0" w:type="dxa"/>
          <w:left w:w="0" w:type="dxa"/>
          <w:bottom w:w="0" w:type="dxa"/>
          <w:right w:w="0" w:type="dxa"/>
        </w:tblCellMar>
      </w:tblP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180" w:type="dxa"/>
            <w:vAlign w:val="bottom"/>
          </w:tcPr>
          <w:p>
            <w:pPr>
              <w:spacing w:after="0"/>
              <w:rPr>
                <w:sz w:val="24"/>
                <w:szCs w:val="24"/>
                <w:color w:val="auto"/>
              </w:rPr>
            </w:pPr>
          </w:p>
        </w:tc>
        <w:tc>
          <w:tcPr>
            <w:tcW w:w="9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2"/>
                <w:szCs w:val="22"/>
                <w:color w:val="auto"/>
              </w:rPr>
              <w:t>December 30, 2025</w:t>
            </w:r>
          </w:p>
        </w:tc>
      </w:tr>
      <w:tr>
        <w:trPr>
          <w:trHeight w:val="525"/>
        </w:trPr>
        <w:tc>
          <w:tcPr>
            <w:tcW w:w="110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4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 John Gebo</w:t>
            </w: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10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SVP Treasury, Fleet &amp; Fuel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22"/>
          <w:szCs w:val="22"/>
          <w:color w:val="auto"/>
        </w:rPr>
        <w:t>UAL-PA-04815-LA-1802891R3</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ind w:left="980" w:hanging="972"/>
        <w:spacing w:after="0"/>
        <w:tabs>
          <w:tab w:leader="none" w:pos="9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Page 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&amp; *** Notice Date</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860" w:type="dxa"/>
            <w:vAlign w:val="bottom"/>
            <w:tcBorders>
              <w:top w:val="single" w:sz="8" w:color="auto"/>
              <w:left w:val="single" w:sz="8" w:color="auto"/>
              <w:right w:val="single" w:sz="8" w:color="auto"/>
            </w:tcBorders>
          </w:tcPr>
          <w:p>
            <w:pPr>
              <w:jc w:val="right"/>
              <w:ind w:right="672"/>
              <w:spacing w:after="0" w:line="216" w:lineRule="exact"/>
              <w:rPr>
                <w:sz w:val="20"/>
                <w:szCs w:val="20"/>
                <w:color w:val="auto"/>
              </w:rPr>
            </w:pPr>
            <w:r>
              <w:rPr>
                <w:rFonts w:ascii="Times New Roman" w:cs="Times New Roman" w:eastAsia="Times New Roman" w:hAnsi="Times New Roman"/>
                <w:sz w:val="22"/>
                <w:szCs w:val="22"/>
                <w:b w:val="1"/>
                <w:bCs w:val="1"/>
                <w:color w:val="auto"/>
              </w:rPr>
              <w:t>***</w:t>
            </w:r>
          </w:p>
        </w:tc>
        <w:tc>
          <w:tcPr>
            <w:tcW w:w="53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Applicable to Program Aircraft Delivering in Time</w:t>
            </w:r>
          </w:p>
        </w:tc>
        <w:tc>
          <w:tcPr>
            <w:tcW w:w="20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 Notice Date</w:t>
            </w:r>
          </w:p>
        </w:tc>
      </w:tr>
      <w:tr>
        <w:trPr>
          <w:trHeight w:val="28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Period</w:t>
            </w:r>
          </w:p>
        </w:tc>
        <w:tc>
          <w:tcPr>
            <w:tcW w:w="2080" w:type="dxa"/>
            <w:vAlign w:val="bottom"/>
            <w:tcBorders>
              <w:bottom w:val="single" w:sz="8" w:color="auto"/>
              <w:right w:val="single" w:sz="8" w:color="auto"/>
            </w:tcBorders>
          </w:tcPr>
          <w:p>
            <w:pPr>
              <w:spacing w:after="0"/>
              <w:rPr>
                <w:sz w:val="24"/>
                <w:szCs w:val="24"/>
                <w:color w:val="auto"/>
              </w:rPr>
            </w:pPr>
          </w:p>
        </w:tc>
      </w:tr>
      <w:tr>
        <w:trPr>
          <w:trHeight w:val="263"/>
        </w:trPr>
        <w:tc>
          <w:tcPr>
            <w:tcW w:w="1860" w:type="dxa"/>
            <w:vAlign w:val="bottom"/>
            <w:tcBorders>
              <w:left w:val="single" w:sz="8" w:color="auto"/>
              <w:bottom w:val="single" w:sz="8" w:color="auto"/>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5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22"/>
          <w:szCs w:val="22"/>
          <w:color w:val="auto"/>
        </w:rPr>
        <w:t>Attachment A to UAL-PA-04815-LA-1802891R3</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jc w:val="both"/>
        <w:ind w:left="9680"/>
        <w:spacing w:after="0"/>
        <w:tabs>
          <w:tab w:leader="none" w:pos="106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Page 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1440"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8450" cy="3600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t>ATTACHMENT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2040" w:type="dxa"/>
            <w:vAlign w:val="bottom"/>
            <w:tcBorders>
              <w:top w:val="single" w:sz="8" w:color="auto"/>
              <w:left w:val="single" w:sz="8" w:color="auto"/>
              <w:bottom w:val="single" w:sz="8" w:color="auto"/>
              <w:right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w:t>
            </w:r>
          </w:p>
        </w:tc>
        <w:tc>
          <w:tcPr>
            <w:tcW w:w="2980" w:type="dxa"/>
            <w:vAlign w:val="bottom"/>
            <w:tcBorders>
              <w:top w:val="single" w:sz="8" w:color="auto"/>
              <w:bottom w:val="single" w:sz="8" w:color="auto"/>
              <w:right w:val="single" w:sz="8" w:color="auto"/>
            </w:tcBorders>
          </w:tcPr>
          <w:p>
            <w:pPr>
              <w:jc w:val="right"/>
              <w:ind w:right="1281"/>
              <w:spacing w:after="0"/>
              <w:rPr>
                <w:sz w:val="20"/>
                <w:szCs w:val="20"/>
                <w:color w:val="auto"/>
              </w:rPr>
            </w:pPr>
            <w:r>
              <w:rPr>
                <w:rFonts w:ascii="Times New Roman" w:cs="Times New Roman" w:eastAsia="Times New Roman" w:hAnsi="Times New Roman"/>
                <w:sz w:val="18"/>
                <w:szCs w:val="18"/>
                <w:b w:val="1"/>
                <w:bCs w:val="1"/>
                <w:color w:val="auto"/>
              </w:rPr>
              <w:t>***</w:t>
            </w:r>
          </w:p>
        </w:tc>
        <w:tc>
          <w:tcPr>
            <w:tcW w:w="3020" w:type="dxa"/>
            <w:vAlign w:val="bottom"/>
            <w:tcBorders>
              <w:top w:val="single" w:sz="8" w:color="auto"/>
              <w:bottom w:val="single" w:sz="8" w:color="auto"/>
              <w:right w:val="single" w:sz="8" w:color="auto"/>
            </w:tcBorders>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w:t>
            </w:r>
          </w:p>
        </w:tc>
        <w:tc>
          <w:tcPr>
            <w:tcW w:w="2760" w:type="dxa"/>
            <w:vAlign w:val="bottom"/>
            <w:tcBorders>
              <w:top w:val="single" w:sz="8" w:color="auto"/>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4"/>
        </w:trPr>
        <w:tc>
          <w:tcPr>
            <w:tcW w:w="2040" w:type="dxa"/>
            <w:vAlign w:val="bottom"/>
            <w:tcBorders>
              <w:left w:val="single" w:sz="8" w:color="auto"/>
              <w:bottom w:val="single" w:sz="8" w:color="auto"/>
              <w:right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2980" w:type="dxa"/>
            <w:vAlign w:val="bottom"/>
            <w:tcBorders>
              <w:bottom w:val="single" w:sz="8" w:color="auto"/>
              <w:right w:val="single" w:sz="8" w:color="auto"/>
            </w:tcBorders>
          </w:tcPr>
          <w:p>
            <w:pPr>
              <w:jc w:val="right"/>
              <w:ind w:right="1261"/>
              <w:spacing w:after="0"/>
              <w:rPr>
                <w:sz w:val="20"/>
                <w:szCs w:val="20"/>
                <w:color w:val="auto"/>
              </w:rPr>
            </w:pPr>
            <w:r>
              <w:rPr>
                <w:rFonts w:ascii="Times New Roman" w:cs="Times New Roman" w:eastAsia="Times New Roman" w:hAnsi="Times New Roman"/>
                <w:sz w:val="22"/>
                <w:szCs w:val="22"/>
                <w:color w:val="auto"/>
              </w:rPr>
              <w:t>***</w:t>
            </w:r>
          </w:p>
        </w:tc>
        <w:tc>
          <w:tcPr>
            <w:tcW w:w="3020" w:type="dxa"/>
            <w:vAlign w:val="bottom"/>
            <w:tcBorders>
              <w:bottom w:val="single" w:sz="8" w:color="auto"/>
              <w:right w:val="single" w:sz="8" w:color="auto"/>
            </w:tcBorders>
          </w:tcPr>
          <w:p>
            <w:pPr>
              <w:jc w:val="right"/>
              <w:ind w:right="1261"/>
              <w:spacing w:after="0"/>
              <w:rPr>
                <w:sz w:val="20"/>
                <w:szCs w:val="20"/>
                <w:color w:val="auto"/>
              </w:rPr>
            </w:pPr>
            <w:r>
              <w:rPr>
                <w:rFonts w:ascii="Times New Roman" w:cs="Times New Roman" w:eastAsia="Times New Roman" w:hAnsi="Times New Roman"/>
                <w:sz w:val="22"/>
                <w:szCs w:val="22"/>
                <w:color w:val="auto"/>
              </w:rPr>
              <w:t>***</w:t>
            </w:r>
          </w:p>
        </w:tc>
        <w:tc>
          <w:tcPr>
            <w:tcW w:w="2760" w:type="dxa"/>
            <w:vAlign w:val="bottom"/>
            <w:tcBorders>
              <w:bottom w:val="single" w:sz="8" w:color="auto"/>
              <w:right w:val="single" w:sz="8" w:color="auto"/>
            </w:tcBorders>
          </w:tcPr>
          <w:p>
            <w:pPr>
              <w:jc w:val="right"/>
              <w:ind w:right="1141"/>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22"/>
          <w:szCs w:val="22"/>
          <w:color w:val="auto"/>
        </w:rPr>
        <w:t>Attachment B to UAL-PA-04815-LA-1802891R3</w:t>
        <w:tab/>
        <w:t>SA-15</w:t>
      </w:r>
    </w:p>
    <w:p>
      <w:pPr>
        <w:spacing w:after="0" w:line="29" w:lineRule="exact"/>
        <w:rPr>
          <w:sz w:val="20"/>
          <w:szCs w:val="20"/>
          <w:color w:val="auto"/>
        </w:rPr>
      </w:pPr>
    </w:p>
    <w:p>
      <w:pPr>
        <w:jc w:val="both"/>
        <w:ind w:left="9680"/>
        <w:spacing w:after="0"/>
        <w:tabs>
          <w:tab w:leader="none" w:pos="106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Page 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1026" w:right="339" w:bottom="1440" w:gutter="0" w:footer="0" w:header="0"/>
        </w:sectPr>
      </w:pPr>
    </w:p>
    <w:bookmarkStart w:id="181" w:name="page182"/>
    <w:bookmarkEnd w:id="181"/>
    <w:p>
      <w:pPr>
        <w:ind w:left="904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216535</wp:posOffset>
            </wp:positionH>
            <wp:positionV relativeFrom="page">
              <wp:posOffset>260350</wp:posOffset>
            </wp:positionV>
            <wp:extent cx="1594485" cy="3689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1594485" cy="368935"/>
                    </a:xfrm>
                    <a:prstGeom prst="rect">
                      <a:avLst/>
                    </a:prstGeom>
                    <a:noFill/>
                  </pic:spPr>
                </pic:pic>
              </a:graphicData>
            </a:graphic>
          </wp:anchor>
        </w:drawing>
        <w:t>The Boeing Company</w:t>
      </w:r>
    </w:p>
    <w:p>
      <w:pPr>
        <w:spacing w:after="0" w:line="25" w:lineRule="exact"/>
        <w:rPr>
          <w:sz w:val="20"/>
          <w:szCs w:val="20"/>
          <w:color w:val="auto"/>
        </w:rPr>
      </w:pPr>
    </w:p>
    <w:p>
      <w:pPr>
        <w:ind w:left="9040"/>
        <w:spacing w:after="0"/>
        <w:rPr>
          <w:sz w:val="20"/>
          <w:szCs w:val="20"/>
          <w:color w:val="auto"/>
        </w:rPr>
      </w:pPr>
      <w:r>
        <w:rPr>
          <w:rFonts w:ascii="Arial" w:cs="Arial" w:eastAsia="Arial" w:hAnsi="Arial"/>
          <w:sz w:val="13"/>
          <w:szCs w:val="13"/>
          <w:color w:val="808080"/>
        </w:rPr>
        <w:t>P.O. Box 3707</w:t>
      </w:r>
    </w:p>
    <w:p>
      <w:pPr>
        <w:spacing w:after="0" w:line="13" w:lineRule="exact"/>
        <w:rPr>
          <w:sz w:val="20"/>
          <w:szCs w:val="20"/>
          <w:color w:val="auto"/>
        </w:rPr>
      </w:pPr>
    </w:p>
    <w:p>
      <w:pPr>
        <w:ind w:left="9040"/>
        <w:spacing w:after="0"/>
        <w:rPr>
          <w:sz w:val="20"/>
          <w:szCs w:val="20"/>
          <w:color w:val="auto"/>
        </w:rPr>
      </w:pPr>
      <w:r>
        <w:rPr>
          <w:rFonts w:ascii="Arial" w:cs="Arial" w:eastAsia="Arial" w:hAnsi="Arial"/>
          <w:sz w:val="13"/>
          <w:szCs w:val="13"/>
          <w:color w:val="808080"/>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8635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06">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UAL-PA-04815-LA-1802895R7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1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 Matters for Certain 787 Aircraft</w:t>
      </w:r>
    </w:p>
    <w:p>
      <w:pPr>
        <w:spacing w:after="0" w:line="216" w:lineRule="exact"/>
        <w:rPr>
          <w:sz w:val="20"/>
          <w:szCs w:val="20"/>
          <w:color w:val="auto"/>
        </w:rPr>
      </w:pPr>
    </w:p>
    <w:p>
      <w:pPr>
        <w:ind w:left="1280" w:hanging="1700"/>
        <w:spacing w:after="0" w:line="287" w:lineRule="auto"/>
        <w:tabs>
          <w:tab w:leader="none" w:pos="1260" w:val="left"/>
        </w:tabs>
        <w:rPr>
          <w:sz w:val="20"/>
          <w:szCs w:val="20"/>
          <w:color w:val="auto"/>
        </w:rPr>
      </w:pPr>
      <w:r>
        <w:rPr>
          <w:rFonts w:ascii="Times New Roman" w:cs="Times New Roman" w:eastAsia="Times New Roman" w:hAnsi="Times New Roman"/>
          <w:sz w:val="22"/>
          <w:szCs w:val="22"/>
          <w:color w:val="auto"/>
        </w:rPr>
        <w:t>References:</w:t>
        <w:tab/>
        <w:t>1) Purchase Agreement No. 04815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787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 and</w:t>
      </w:r>
    </w:p>
    <w:p>
      <w:pPr>
        <w:spacing w:after="0" w:line="33" w:lineRule="exact"/>
        <w:rPr>
          <w:sz w:val="20"/>
          <w:szCs w:val="20"/>
          <w:color w:val="auto"/>
        </w:rPr>
      </w:pPr>
    </w:p>
    <w:p>
      <w:pPr>
        <w:ind w:left="1620" w:hanging="316"/>
        <w:spacing w:after="0" w:line="271" w:lineRule="auto"/>
        <w:tabs>
          <w:tab w:leader="none" w:pos="17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Aircraft General Terms Agreement dated as of October 10, 1997 between the parties, identified as AGTA-CAL (</w:t>
      </w:r>
      <w:r>
        <w:rPr>
          <w:rFonts w:ascii="Times New Roman" w:cs="Times New Roman" w:eastAsia="Times New Roman" w:hAnsi="Times New Roman"/>
          <w:sz w:val="22"/>
          <w:szCs w:val="22"/>
          <w:b w:val="1"/>
          <w:bCs w:val="1"/>
          <w:color w:val="auto"/>
        </w:rPr>
        <w:t>AGTA</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amends and supplements the Purchase Agreement. The Purchase Agreement incorporates the terms and conditions of the AGTA. This Letter Agreement modifies certain terms and conditions of the AGTA with respect to the Aircraft. All terms used but not defined in this Letter Agreement will have the same meaning as in the Purchase Agreement or the AGTA, as the context requires. This Letter Agreement supersedes and replaces in its entirety Letter Agreement UAL-PA-04815-LA-1802895R6 dated September 28, 2023.</w:t>
      </w:r>
    </w:p>
    <w:p>
      <w:pPr>
        <w:spacing w:after="0" w:line="177" w:lineRule="exact"/>
        <w:rPr>
          <w:sz w:val="20"/>
          <w:szCs w:val="20"/>
          <w:color w:val="auto"/>
        </w:rPr>
      </w:pPr>
    </w:p>
    <w:p>
      <w:pPr>
        <w:ind w:left="380" w:hanging="372"/>
        <w:spacing w:after="0"/>
        <w:tabs>
          <w:tab w:leader="none" w:pos="3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19" w:lineRule="exact"/>
        <w:rPr>
          <w:sz w:val="20"/>
          <w:szCs w:val="20"/>
          <w:color w:val="auto"/>
        </w:rPr>
      </w:pPr>
    </w:p>
    <w:p>
      <w:pPr>
        <w:ind w:left="380" w:hanging="372"/>
        <w:spacing w:after="0"/>
        <w:tabs>
          <w:tab w:leader="none" w:pos="3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Reserved.</w:t>
      </w:r>
    </w:p>
    <w:p>
      <w:pPr>
        <w:spacing w:after="0" w:line="166" w:lineRule="exact"/>
        <w:rPr>
          <w:sz w:val="20"/>
          <w:szCs w:val="20"/>
          <w:color w:val="auto"/>
        </w:rPr>
      </w:pPr>
    </w:p>
    <w:p>
      <w:pPr>
        <w:ind w:left="380" w:hanging="372"/>
        <w:spacing w:after="0"/>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19" w:lineRule="exact"/>
        <w:rPr>
          <w:sz w:val="20"/>
          <w:szCs w:val="20"/>
          <w:color w:val="auto"/>
        </w:rPr>
      </w:pPr>
    </w:p>
    <w:p>
      <w:pPr>
        <w:ind w:left="380" w:hanging="372"/>
        <w:spacing w:after="0"/>
        <w:tabs>
          <w:tab w:leader="none" w:pos="3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Rights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Customer agrees that ***.</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7.2 In the event Boeing *** to Boeing pursuant to Section 7.1, absent instruction from Boeing to the contrary, Boeing shall provide Customer *** and Customer shall, *** under</w:t>
      </w:r>
    </w:p>
    <w:p>
      <w:pPr>
        <w:spacing w:after="0" w:line="200" w:lineRule="exact"/>
        <w:rPr>
          <w:sz w:val="20"/>
          <w:szCs w:val="20"/>
          <w:color w:val="auto"/>
        </w:rPr>
      </w:pPr>
    </w:p>
    <w:p>
      <w:pPr>
        <w:spacing w:after="0" w:line="282"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UAL-PA-04815-LA-1802895R7</w:t>
        <w:tab/>
        <w:t>SA-15</w:t>
      </w:r>
    </w:p>
    <w:p>
      <w:pPr>
        <w:spacing w:after="0" w:line="28"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22"/>
          <w:szCs w:val="22"/>
          <w:color w:val="auto"/>
        </w:rPr>
        <w:t>*** Matters for Certain 787 Aircraft</w:t>
      </w:r>
      <w:r>
        <w:rPr>
          <w:sz w:val="20"/>
          <w:szCs w:val="20"/>
          <w:color w:val="auto"/>
        </w:rPr>
        <w:tab/>
      </w:r>
      <w:r>
        <w:rPr>
          <w:rFonts w:ascii="Times New Roman" w:cs="Times New Roman" w:eastAsia="Times New Roman" w:hAnsi="Times New Roman"/>
          <w:sz w:val="21"/>
          <w:szCs w:val="21"/>
          <w:color w:val="auto"/>
        </w:rPr>
        <w:t>Page 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4926-0519-8467</w:t>
      </w:r>
    </w:p>
    <w:p>
      <w:pPr>
        <w:sectPr>
          <w:pgSz w:w="11900" w:h="16838" w:orient="portrait"/>
          <w:cols w:equalWidth="0" w:num="1">
            <w:col w:w="11240"/>
          </w:cols>
          <w:pgMar w:left="320" w:top="559" w:right="339" w:bottom="1440" w:gutter="0" w:footer="0" w:header="0"/>
        </w:sectPr>
      </w:pPr>
    </w:p>
    <w:bookmarkStart w:id="182" w:name="page183"/>
    <w:bookmarkEnd w:id="182"/>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84" w:lineRule="auto"/>
        <w:rPr>
          <w:sz w:val="20"/>
          <w:szCs w:val="20"/>
          <w:color w:val="auto"/>
        </w:rPr>
      </w:pPr>
      <w:r>
        <w:rPr>
          <w:rFonts w:ascii="Times New Roman" w:cs="Times New Roman" w:eastAsia="Times New Roman" w:hAnsi="Times New Roman"/>
          <w:sz w:val="22"/>
          <w:szCs w:val="22"/>
          <w:color w:val="auto"/>
        </w:rPr>
        <w:t>the Purchase Agreement as amended by this Letter Agreement. Customer will ***. Boeing will provide Customer *** so that Customer can *** under this Section 7.2.</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7.3 For all purposes of this Section 7, including without limitation, notice, *** or any other application, ***. Boeing expressly reserves all of its rights and remedies under any agreement and applicable law.</w:t>
      </w:r>
    </w:p>
    <w:p>
      <w:pPr>
        <w:spacing w:after="0" w:line="158" w:lineRule="exact"/>
        <w:rPr>
          <w:sz w:val="20"/>
          <w:szCs w:val="20"/>
          <w:color w:val="auto"/>
        </w:rPr>
      </w:pPr>
    </w:p>
    <w:p>
      <w:pPr>
        <w:ind w:left="380" w:hanging="372"/>
        <w:spacing w:after="0"/>
        <w:tabs>
          <w:tab w:leader="none" w:pos="3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entitled “Assignment Matters”, the rights and obligations described in this Letter Agreement are provided to Customer in consideration of Customer’s becoming the operator of the Aircraft and cannot be assigned in whole or, in part.</w:t>
      </w:r>
    </w:p>
    <w:p>
      <w:pPr>
        <w:spacing w:after="0" w:line="167" w:lineRule="exact"/>
        <w:rPr>
          <w:sz w:val="20"/>
          <w:szCs w:val="20"/>
          <w:color w:val="auto"/>
        </w:rPr>
      </w:pPr>
    </w:p>
    <w:p>
      <w:pPr>
        <w:ind w:left="380" w:hanging="372"/>
        <w:spacing w:after="0"/>
        <w:tabs>
          <w:tab w:leader="none" w:pos="3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 entitled “Privileged and Confidential Matters.”</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the foregoing correctly sets forth your understanding of our agreement with respect to the matters treated above, please indicate your acceptance and approval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87"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3480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0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67"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3480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0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UAL-PA-04815-LA-1802895R7</w:t>
        <w:tab/>
        <w:t>SA-15</w:t>
      </w:r>
    </w:p>
    <w:p>
      <w:pPr>
        <w:spacing w:after="0" w:line="28"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22"/>
          <w:szCs w:val="22"/>
          <w:color w:val="auto"/>
        </w:rPr>
        <w:t>*** Matters for Certain 787 Aircraft</w:t>
      </w:r>
      <w:r>
        <w:rPr>
          <w:sz w:val="20"/>
          <w:szCs w:val="20"/>
          <w:color w:val="auto"/>
        </w:rPr>
        <w:tab/>
      </w:r>
      <w:r>
        <w:rPr>
          <w:rFonts w:ascii="Times New Roman" w:cs="Times New Roman" w:eastAsia="Times New Roman" w:hAnsi="Times New Roman"/>
          <w:sz w:val="21"/>
          <w:szCs w:val="21"/>
          <w:color w:val="auto"/>
        </w:rPr>
        <w:t>Page 2</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4926-0519-8467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87"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160" w:type="dxa"/>
            <w:vAlign w:val="bottom"/>
          </w:tcPr>
          <w:p>
            <w:pPr>
              <w:spacing w:after="0"/>
              <w:rPr>
                <w:sz w:val="24"/>
                <w:szCs w:val="24"/>
                <w:color w:val="auto"/>
              </w:rPr>
            </w:pPr>
          </w:p>
        </w:tc>
        <w:tc>
          <w:tcPr>
            <w:tcW w:w="5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December 30, 2025</w:t>
            </w:r>
          </w:p>
        </w:tc>
      </w:tr>
      <w:tr>
        <w:trPr>
          <w:trHeight w:val="519"/>
        </w:trPr>
        <w:tc>
          <w:tcPr>
            <w:tcW w:w="78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 John Gebo</w:t>
            </w:r>
          </w:p>
        </w:tc>
      </w:tr>
      <w:tr>
        <w:trPr>
          <w:trHeight w:val="555"/>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7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SVP Treasury, Fleet &amp; Fuel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UAL-PA-04815-LA-1802895R7</w:t>
        <w:tab/>
        <w:t>SA-15</w:t>
      </w:r>
    </w:p>
    <w:p>
      <w:pPr>
        <w:spacing w:after="0" w:line="28"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22"/>
          <w:szCs w:val="22"/>
          <w:color w:val="auto"/>
        </w:rPr>
        <w:t>*** Matters for Certain 787 Aircraft</w:t>
      </w:r>
      <w:r>
        <w:rPr>
          <w:sz w:val="20"/>
          <w:szCs w:val="20"/>
          <w:color w:val="auto"/>
        </w:rPr>
        <w:tab/>
      </w:r>
      <w:r>
        <w:rPr>
          <w:rFonts w:ascii="Times New Roman" w:cs="Times New Roman" w:eastAsia="Times New Roman" w:hAnsi="Times New Roman"/>
          <w:sz w:val="21"/>
          <w:szCs w:val="21"/>
          <w:color w:val="auto"/>
        </w:rPr>
        <w:t>Page 3</w:t>
      </w:r>
    </w:p>
    <w:p>
      <w:pPr>
        <w:spacing w:after="0" w:line="5"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4926-0519-8467</w:t>
      </w:r>
    </w:p>
    <w:p>
      <w:pPr>
        <w:sectPr>
          <w:pgSz w:w="11900" w:h="16838" w:orient="portrait"/>
          <w:cols w:equalWidth="0" w:num="1">
            <w:col w:w="10139"/>
          </w:cols>
          <w:pgMar w:left="320" w:top="1440" w:right="1440" w:bottom="1440" w:gutter="0" w:footer="0" w:header="0"/>
        </w:sectPr>
      </w:pPr>
    </w:p>
    <w:bookmarkStart w:id="184" w:name="page185"/>
    <w:bookmarkEnd w:id="184"/>
    <w:p>
      <w:pPr>
        <w:ind w:left="160"/>
        <w:spacing w:after="0"/>
        <w:rPr>
          <w:sz w:val="20"/>
          <w:szCs w:val="20"/>
          <w:color w:val="auto"/>
        </w:rPr>
      </w:pPr>
      <w:r>
        <w:rPr>
          <w:rFonts w:ascii="Times New Roman" w:cs="Times New Roman" w:eastAsia="Times New Roman" w:hAnsi="Times New Roman"/>
          <w:sz w:val="18"/>
          <w:szCs w:val="18"/>
          <w:color w:val="auto"/>
        </w:rPr>
        <w:t>The Boeing Company</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P.O. Box 3707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5715</wp:posOffset>
            </wp:positionV>
            <wp:extent cx="1560195" cy="3600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11">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Seattle, WA 98124 2207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UAL-PA-04815-LA-1802897R4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200" w:lineRule="exact"/>
        <w:rPr>
          <w:sz w:val="20"/>
          <w:szCs w:val="20"/>
          <w:color w:val="auto"/>
        </w:rPr>
      </w:pPr>
    </w:p>
    <w:p>
      <w:pPr>
        <w:spacing w:after="0" w:line="3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 Aircraft</w:t>
      </w:r>
    </w:p>
    <w:p>
      <w:pPr>
        <w:spacing w:after="0" w:line="229" w:lineRule="exact"/>
        <w:rPr>
          <w:sz w:val="20"/>
          <w:szCs w:val="20"/>
          <w:color w:val="auto"/>
        </w:rPr>
      </w:pPr>
    </w:p>
    <w:p>
      <w:pPr>
        <w:jc w:val="both"/>
        <w:ind w:left="1200" w:hanging="1295"/>
        <w:spacing w:after="0" w:line="275" w:lineRule="auto"/>
        <w:tabs>
          <w:tab w:leader="none" w:pos="1180" w:val="left"/>
        </w:tabs>
        <w:rPr>
          <w:sz w:val="20"/>
          <w:szCs w:val="20"/>
          <w:color w:val="auto"/>
        </w:rPr>
      </w:pPr>
      <w:r>
        <w:rPr>
          <w:rFonts w:ascii="Times New Roman" w:cs="Times New Roman" w:eastAsia="Times New Roman" w:hAnsi="Times New Roman"/>
          <w:sz w:val="22"/>
          <w:szCs w:val="22"/>
          <w:color w:val="auto"/>
        </w:rPr>
        <w:t>Reference:</w:t>
        <w:tab/>
        <w:t>Purchase Agreement 04815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787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257" w:lineRule="exact"/>
        <w:rPr>
          <w:sz w:val="20"/>
          <w:szCs w:val="20"/>
          <w:color w:val="auto"/>
        </w:rPr>
      </w:pPr>
    </w:p>
    <w:p>
      <w:pPr>
        <w:jc w:val="both"/>
        <w:ind w:firstLine="895"/>
        <w:spacing w:after="0" w:line="259"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amends and supplements the Purchase Agreement. All terms used but not defined in this Letter Agreement have the same meaning as in the Purchase Agreement. This Letter Agreement supersedes and replaces in its entirety Letter Agreement UAL-PA-04815-LA-1802897R3 dated October 24, 2024.</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Boeing agrees to manufacture and sell to Customer additional Boeing model 787-9 aircraft (collectively and each 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 in accordance with the terms of this Letter Agreement. The model, delivery *** per aircraft and *** schedule are listed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Attachment A-1.</w:t>
      </w:r>
    </w:p>
    <w:p>
      <w:pPr>
        <w:spacing w:after="0" w:line="166"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Aircraft Description and Changes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Aircraft Description</w:t>
      </w:r>
      <w:r>
        <w:rPr>
          <w:rFonts w:ascii="Times New Roman" w:cs="Times New Roman" w:eastAsia="Times New Roman" w:hAnsi="Times New Roman"/>
          <w:sz w:val="22"/>
          <w:szCs w:val="22"/>
          <w:color w:val="auto"/>
        </w:rPr>
        <w:t>: The *** Aircraft are described by the Detail Specification listed in Attachment A-1, and are subject to the items in Section 1.2 below.</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Changes</w:t>
      </w:r>
      <w:r>
        <w:rPr>
          <w:rFonts w:ascii="Times New Roman" w:cs="Times New Roman" w:eastAsia="Times New Roman" w:hAnsi="Times New Roman"/>
          <w:sz w:val="21"/>
          <w:szCs w:val="21"/>
          <w:color w:val="auto"/>
        </w:rPr>
        <w:t>: The Detail Specification will be revised to include:</w:t>
      </w:r>
    </w:p>
    <w:p>
      <w:pPr>
        <w:spacing w:after="0" w:line="220" w:lineRule="exact"/>
        <w:rPr>
          <w:sz w:val="20"/>
          <w:szCs w:val="20"/>
          <w:color w:val="auto"/>
        </w:rPr>
      </w:pPr>
    </w:p>
    <w:p>
      <w:pPr>
        <w:jc w:val="both"/>
        <w:ind w:left="2600" w:right="1120" w:hanging="648"/>
        <w:spacing w:after="0" w:line="257" w:lineRule="auto"/>
        <w:tabs>
          <w:tab w:leader="none" w:pos="258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applicable to the *** Model 787 aircraft which are developed by Boeing between the date of the Detail Specification and the signing of the definitive agreement to purchase the *** Aircraft and notified to Customer;</w:t>
      </w:r>
    </w:p>
    <w:p>
      <w:pPr>
        <w:spacing w:after="0" w:line="17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required to obtain required regulatory certificates; and</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mutually agreed upon.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SA-15</w:t>
      </w:r>
    </w:p>
    <w:p>
      <w:pPr>
        <w:spacing w:after="0" w:line="2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UAL-PA-04815-LA-1802897R4</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Aircraft</w:t>
      </w:r>
      <w:r>
        <w:rPr>
          <w:sz w:val="20"/>
          <w:szCs w:val="20"/>
          <w:color w:val="auto"/>
        </w:rPr>
        <w:tab/>
      </w:r>
      <w:r>
        <w:rPr>
          <w:rFonts w:ascii="Times New Roman" w:cs="Times New Roman" w:eastAsia="Times New Roman" w:hAnsi="Times New Roman"/>
          <w:sz w:val="21"/>
          <w:szCs w:val="21"/>
          <w:color w:val="auto"/>
        </w:rPr>
        <w:t>Page 1</w:t>
      </w:r>
    </w:p>
    <w:p>
      <w:pPr>
        <w:ind w:left="4380"/>
        <w:spacing w:after="0" w:line="233" w:lineRule="auto"/>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rPr>
          <w:sz w:val="20"/>
          <w:szCs w:val="20"/>
          <w:color w:val="auto"/>
        </w:rPr>
      </w:pPr>
      <w:r>
        <w:rPr>
          <w:rFonts w:ascii="Times New Roman" w:cs="Times New Roman" w:eastAsia="Times New Roman" w:hAnsi="Times New Roman"/>
          <w:sz w:val="13"/>
          <w:szCs w:val="13"/>
          <w:color w:val="auto"/>
        </w:rPr>
        <w:t>4911-2074-1249</w:t>
      </w:r>
    </w:p>
    <w:p>
      <w:pPr>
        <w:sectPr>
          <w:pgSz w:w="11900" w:h="16838" w:orient="portrait"/>
          <w:cols w:equalWidth="0" w:num="1">
            <w:col w:w="11240"/>
          </w:cols>
          <w:pgMar w:left="320" w:top="364" w:right="33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Price</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The *** of the *** Aircraft are listed in Attachment A-1 to this Letter Agreement.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 that will be identified in the definitive agreement for the *** Aircraft will equal (i) the *** as of the date of execution of the Purchase Agreement for the ***, and (ii) for any changes incorporated between the date of execution of the Purchase Agreement for the *** and the date of execution of the definitive agreement for the *** Aircraft, the</w:t>
      </w:r>
    </w:p>
    <w:p>
      <w:pPr>
        <w:spacing w:after="0" w:line="3" w:lineRule="exact"/>
        <w:rPr>
          <w:sz w:val="20"/>
          <w:szCs w:val="20"/>
          <w:color w:val="auto"/>
        </w:rPr>
      </w:pPr>
    </w:p>
    <w:p>
      <w:pPr>
        <w:jc w:val="both"/>
        <w:ind w:firstLine="8"/>
        <w:spacing w:after="0" w:line="247" w:lineRule="auto"/>
        <w:tabs>
          <w:tab w:leader="none" w:pos="40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associated with such changes will be those first published by Boeing ***. For the avoidance of doubt, *** that are not published by Boeing as of the date of execution of the Purchase Agreement for the *** will be *** to the same *** as the *** for the *** in accordance with *** Boeing uses ***. The *** for the *** Aircraft will *** in accordance with Supplemental Exhibit AE1 of the Purchase Agreement. Boeing represents that the *** provided in this Section 2.2 are consistent with the terms of Letter Agreement 6-1162-KKT-080R2, including as may subsequently be amended.</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 for each *** Aircraft will be *** on the same basis as the Aircraft and will *** for *** in accordance with the terms set forth in Supplemental Exhibit AE1 of the Purchase Agreement.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2.2.3.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 listed in Supplement Exhibit EE1 to the Purchase Agreement, have been *** to the *** of scheduled delivery using *** listed in the Attachment A-1 to this Letter Agreement. The *** will be *** by the *** prior to the signing of a definitive agreement for the *** Aircraft.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2.2.4.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 of the *** Aircraft will *** to the *** as of the date of execution of the definitive agreement for the *** Aircraft unless the *** agrees to the ***.</w:t>
      </w:r>
    </w:p>
    <w:p>
      <w:pPr>
        <w:spacing w:after="0" w:line="154"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22"/>
          <w:szCs w:val="22"/>
          <w:color w:val="auto"/>
        </w:rPr>
        <w:t>3.1 Customer will pay a *** to Boeing in the amount shown in Attachment A-1 for each *** Aircraft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on the date of this Letter Agreement. If Customer *** an ***, the *** will be *** against the *** for such *** Aircraft. If Customer does not *** an ***, Boeing will retain the *** for that *** Aircraft and apply it, ***, then the *** may be applied to *** for Boeing *** and ***.</w:t>
      </w:r>
    </w:p>
    <w:p>
      <w:pPr>
        <w:spacing w:after="0" w:line="179" w:lineRule="exact"/>
        <w:rPr>
          <w:sz w:val="20"/>
          <w:szCs w:val="20"/>
          <w:color w:val="auto"/>
        </w:rPr>
      </w:pPr>
    </w:p>
    <w:p>
      <w:pPr>
        <w:jc w:val="both"/>
        <w:ind w:firstLine="972"/>
        <w:spacing w:after="0" w:line="263" w:lineRule="auto"/>
        <w:rPr>
          <w:sz w:val="20"/>
          <w:szCs w:val="20"/>
          <w:color w:val="auto"/>
        </w:rPr>
      </w:pPr>
      <w:r>
        <w:rPr>
          <w:rFonts w:ascii="Times New Roman" w:cs="Times New Roman" w:eastAsia="Times New Roman" w:hAnsi="Times New Roman"/>
          <w:sz w:val="22"/>
          <w:szCs w:val="22"/>
          <w:color w:val="auto"/>
        </w:rPr>
        <w:t>3.2 If Customer *** its *** to acquire an *** Aircraft, *** in the amounts and at the times listed in Attachment A-1 will be *** for that *** Aircraft, subject to the terms of the *** Matters LA-1802895R6 (as may be supplemented and amended from time to time). The *** of the Aircraft Price for that *** Aircraft will be paid ***.</w:t>
      </w:r>
    </w:p>
    <w:p>
      <w:pPr>
        <w:spacing w:after="0" w:line="200" w:lineRule="exact"/>
        <w:rPr>
          <w:sz w:val="20"/>
          <w:szCs w:val="20"/>
          <w:color w:val="auto"/>
        </w:rPr>
      </w:pPr>
    </w:p>
    <w:p>
      <w:pPr>
        <w:spacing w:after="0" w:line="359"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SA-15</w:t>
      </w:r>
    </w:p>
    <w:p>
      <w:pPr>
        <w:spacing w:after="0" w:line="2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UAL-PA-04815-LA-1802897R4, *** Aircraft</w:t>
      </w:r>
      <w:r>
        <w:rPr>
          <w:sz w:val="20"/>
          <w:szCs w:val="20"/>
          <w:color w:val="auto"/>
        </w:rPr>
        <w:tab/>
      </w:r>
      <w:r>
        <w:rPr>
          <w:rFonts w:ascii="Times New Roman" w:cs="Times New Roman" w:eastAsia="Times New Roman" w:hAnsi="Times New Roman"/>
          <w:sz w:val="21"/>
          <w:szCs w:val="21"/>
          <w:color w:val="auto"/>
        </w:rPr>
        <w:t>Page 2</w:t>
      </w:r>
    </w:p>
    <w:p>
      <w:pPr>
        <w:ind w:left="4380"/>
        <w:spacing w:after="0" w:line="233" w:lineRule="auto"/>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rPr>
          <w:sz w:val="20"/>
          <w:szCs w:val="20"/>
          <w:color w:val="auto"/>
        </w:rPr>
      </w:pPr>
      <w:r>
        <w:rPr>
          <w:rFonts w:ascii="Times New Roman" w:cs="Times New Roman" w:eastAsia="Times New Roman" w:hAnsi="Times New Roman"/>
          <w:sz w:val="13"/>
          <w:szCs w:val="13"/>
          <w:color w:val="auto"/>
        </w:rPr>
        <w:t>4911-2074-1249</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4.1.   Customer may *** by giving written notice to Boeing (</w:t>
      </w:r>
      <w:r>
        <w:rPr>
          <w:rFonts w:ascii="Times New Roman" w:cs="Times New Roman" w:eastAsia="Times New Roman" w:hAnsi="Times New Roman"/>
          <w:sz w:val="21"/>
          <w:szCs w:val="21"/>
          <w:b w:val="1"/>
          <w:bCs w:val="1"/>
          <w:color w:val="auto"/>
        </w:rPr>
        <w:t>Customer Notice</w:t>
      </w:r>
      <w:r>
        <w:rPr>
          <w:rFonts w:ascii="Times New Roman" w:cs="Times New Roman" w:eastAsia="Times New Roman" w:hAnsi="Times New Roman"/>
          <w:sz w:val="21"/>
          <w:szCs w:val="21"/>
          <w:color w:val="auto"/>
        </w:rPr>
        <w:t>) in accordance with the following terms:</w:t>
      </w:r>
    </w:p>
    <w:p>
      <w:pPr>
        <w:spacing w:after="0" w:line="235" w:lineRule="exact"/>
        <w:rPr>
          <w:rFonts w:ascii="Times New Roman" w:cs="Times New Roman" w:eastAsia="Times New Roman" w:hAnsi="Times New Roman"/>
          <w:sz w:val="22"/>
          <w:szCs w:val="22"/>
          <w:color w:val="auto"/>
        </w:rPr>
      </w:pPr>
    </w:p>
    <w:p>
      <w:pPr>
        <w:ind w:left="1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4.1.1. For *** Aircraft contracted for delivery after *** but not later than ***:</w:t>
      </w:r>
    </w:p>
    <w:p>
      <w:pPr>
        <w:spacing w:after="0" w:line="233" w:lineRule="exact"/>
        <w:rPr>
          <w:sz w:val="20"/>
          <w:szCs w:val="20"/>
          <w:color w:val="auto"/>
        </w:rPr>
      </w:pPr>
    </w:p>
    <w:p>
      <w:pPr>
        <w:ind w:left="80" w:firstLine="2025"/>
        <w:spacing w:after="0" w:line="271" w:lineRule="auto"/>
        <w:rPr>
          <w:sz w:val="20"/>
          <w:szCs w:val="20"/>
          <w:color w:val="auto"/>
        </w:rPr>
      </w:pPr>
      <w:r>
        <w:rPr>
          <w:rFonts w:ascii="Times New Roman" w:cs="Times New Roman" w:eastAsia="Times New Roman" w:hAnsi="Times New Roman"/>
          <w:sz w:val="22"/>
          <w:szCs w:val="22"/>
          <w:color w:val="auto"/>
        </w:rPr>
        <w:t>4.1.1.1. Provision of Customer Notice to Boeing for such *** Aircraft is due no later than *** prior to the first business day of the applicable delivery *** listed in Attachment A-1.</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4.1.2. For *** Aircraft contracted for delivery from *** and on:</w:t>
      </w:r>
    </w:p>
    <w:p>
      <w:pPr>
        <w:spacing w:after="0" w:line="220" w:lineRule="exact"/>
        <w:rPr>
          <w:sz w:val="20"/>
          <w:szCs w:val="20"/>
          <w:color w:val="auto"/>
        </w:rPr>
      </w:pPr>
    </w:p>
    <w:p>
      <w:pPr>
        <w:ind w:left="2120"/>
        <w:spacing w:after="0"/>
        <w:tabs>
          <w:tab w:leader="none" w:pos="3220" w:val="left"/>
        </w:tabs>
        <w:rPr>
          <w:sz w:val="20"/>
          <w:szCs w:val="20"/>
          <w:color w:val="auto"/>
        </w:rPr>
      </w:pPr>
      <w:r>
        <w:rPr>
          <w:rFonts w:ascii="Times New Roman" w:cs="Times New Roman" w:eastAsia="Times New Roman" w:hAnsi="Times New Roman"/>
          <w:sz w:val="22"/>
          <w:szCs w:val="22"/>
          <w:color w:val="auto"/>
        </w:rPr>
        <w:t>4.1.2.1.</w:t>
      </w:r>
      <w:r>
        <w:rPr>
          <w:sz w:val="20"/>
          <w:szCs w:val="20"/>
          <w:color w:val="auto"/>
        </w:rPr>
        <w:tab/>
      </w:r>
      <w:r>
        <w:rPr>
          <w:rFonts w:ascii="Times New Roman" w:cs="Times New Roman" w:eastAsia="Times New Roman" w:hAnsi="Times New Roman"/>
          <w:sz w:val="22"/>
          <w:szCs w:val="22"/>
          <w:color w:val="auto"/>
        </w:rPr>
        <w:t>Provision of Customer Notice to Boeing for *** Aircraft contracted for delivery in a ***</w:t>
      </w:r>
    </w:p>
    <w:p>
      <w:pPr>
        <w:spacing w:after="0" w:line="28"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that is prior to *** of each ***, is due no later than *** prior to the first business day of the applicable delivery *** listed in Attachment A-1.</w:t>
      </w:r>
    </w:p>
    <w:p>
      <w:pPr>
        <w:spacing w:after="0" w:line="1" w:lineRule="exact"/>
        <w:rPr>
          <w:sz w:val="20"/>
          <w:szCs w:val="20"/>
          <w:color w:val="auto"/>
        </w:rPr>
      </w:pPr>
    </w:p>
    <w:p>
      <w:pPr>
        <w:ind w:left="2100"/>
        <w:spacing w:after="0"/>
        <w:tabs>
          <w:tab w:leader="none" w:pos="3220" w:val="left"/>
        </w:tabs>
        <w:rPr>
          <w:sz w:val="20"/>
          <w:szCs w:val="20"/>
          <w:color w:val="auto"/>
        </w:rPr>
      </w:pPr>
      <w:r>
        <w:rPr>
          <w:rFonts w:ascii="Times New Roman" w:cs="Times New Roman" w:eastAsia="Times New Roman" w:hAnsi="Times New Roman"/>
          <w:sz w:val="22"/>
          <w:szCs w:val="22"/>
          <w:color w:val="auto"/>
        </w:rPr>
        <w:t>4.1.2.2.</w:t>
      </w:r>
      <w:r>
        <w:rPr>
          <w:sz w:val="20"/>
          <w:szCs w:val="20"/>
          <w:color w:val="auto"/>
        </w:rPr>
        <w:tab/>
      </w:r>
      <w:r>
        <w:rPr>
          <w:rFonts w:ascii="Times New Roman" w:cs="Times New Roman" w:eastAsia="Times New Roman" w:hAnsi="Times New Roman"/>
          <w:sz w:val="22"/>
          <w:szCs w:val="22"/>
          <w:color w:val="auto"/>
        </w:rPr>
        <w:t>Provision of Customer Notice to Boeing for *** Aircraft contracted for delivery in a ***</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that is after *** of each *** is due no later than:</w:t>
      </w:r>
    </w:p>
    <w:p>
      <w:pPr>
        <w:spacing w:after="0" w:line="34" w:lineRule="exact"/>
        <w:rPr>
          <w:sz w:val="20"/>
          <w:szCs w:val="20"/>
          <w:color w:val="auto"/>
        </w:rPr>
      </w:pPr>
    </w:p>
    <w:p>
      <w:pPr>
        <w:ind w:left="2440" w:hanging="411"/>
        <w:spacing w:after="0"/>
        <w:tabs>
          <w:tab w:leader="none" w:pos="24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prior to the first business day of the applicable delivery *** listed in Attachment A-1 or;</w:t>
      </w:r>
    </w:p>
    <w:p>
      <w:pPr>
        <w:spacing w:after="0" w:line="57" w:lineRule="exact"/>
        <w:rPr>
          <w:rFonts w:ascii="Times New Roman" w:cs="Times New Roman" w:eastAsia="Times New Roman" w:hAnsi="Times New Roman"/>
          <w:sz w:val="22"/>
          <w:szCs w:val="22"/>
          <w:color w:val="auto"/>
        </w:rPr>
      </w:pPr>
    </w:p>
    <w:p>
      <w:pPr>
        <w:ind w:left="2360" w:hanging="331"/>
        <w:spacing w:after="0"/>
        <w:tabs>
          <w:tab w:leader="none" w:pos="23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prior to the first business day of the applicable delivery *** listed in Attachment A-1, subject to</w:t>
      </w:r>
    </w:p>
    <w:p>
      <w:pPr>
        <w:spacing w:after="0" w:line="27" w:lineRule="exact"/>
        <w:rPr>
          <w:rFonts w:ascii="Times New Roman" w:cs="Times New Roman" w:eastAsia="Times New Roman" w:hAnsi="Times New Roman"/>
          <w:sz w:val="22"/>
          <w:szCs w:val="22"/>
          <w:color w:val="auto"/>
        </w:rPr>
      </w:pPr>
    </w:p>
    <w:p>
      <w:pPr>
        <w:ind w:left="23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01" w:lineRule="exact"/>
        <w:rPr>
          <w:sz w:val="20"/>
          <w:szCs w:val="20"/>
          <w:color w:val="auto"/>
        </w:rPr>
      </w:pPr>
    </w:p>
    <w:p>
      <w:pPr>
        <w:jc w:val="both"/>
        <w:ind w:firstLine="258"/>
        <w:spacing w:after="0" w:line="250" w:lineRule="auto"/>
        <w:rPr>
          <w:sz w:val="20"/>
          <w:szCs w:val="20"/>
          <w:color w:val="auto"/>
        </w:rPr>
      </w:pPr>
      <w:r>
        <w:rPr>
          <w:rFonts w:ascii="Times New Roman" w:cs="Times New Roman" w:eastAsia="Times New Roman" w:hAnsi="Times New Roman"/>
          <w:sz w:val="22"/>
          <w:szCs w:val="22"/>
          <w:color w:val="auto"/>
        </w:rPr>
        <w:t>Notwithstanding the foregoing, Customer may elect to not *** an *** Aircraft described in this Section 4.1.2.2 by providing written notice to Boeing at any time during the period from *** prior to the first business day of the applicable delivery *** listed in Attachment A-1 to *** prior to the first business day of the applicable delivery *** listed in Attachment A-1. In the event Customer provides such notice, Boeing will retain the *** for such *** Aircraft and apply it to future *** in accordance with Section 3.1 above.</w:t>
      </w:r>
    </w:p>
    <w:p>
      <w:pPr>
        <w:spacing w:after="0" w:line="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4.2. For the avoidance of doubt, any *** Aircraft for which Customer has *** its rights under this Letter Agreement shall be considered an Aircraft for purposes of the Purchase Agreement.</w:t>
      </w:r>
    </w:p>
    <w:p>
      <w:pPr>
        <w:spacing w:after="0" w:line="50" w:lineRule="exact"/>
        <w:rPr>
          <w:sz w:val="20"/>
          <w:szCs w:val="20"/>
          <w:color w:val="auto"/>
        </w:rPr>
      </w:pPr>
    </w:p>
    <w:p>
      <w:pPr>
        <w:jc w:val="both"/>
        <w:ind w:left="80" w:firstLine="571"/>
        <w:spacing w:after="0" w:line="252" w:lineRule="auto"/>
        <w:rPr>
          <w:sz w:val="20"/>
          <w:szCs w:val="20"/>
          <w:color w:val="auto"/>
        </w:rPr>
      </w:pPr>
      <w:r>
        <w:rPr>
          <w:rFonts w:ascii="Times New Roman" w:cs="Times New Roman" w:eastAsia="Times New Roman" w:hAnsi="Times New Roman"/>
          <w:sz w:val="22"/>
          <w:szCs w:val="22"/>
          <w:color w:val="auto"/>
        </w:rPr>
        <w:t>4.3. Certain *** Aircraft added to this Letter Agreement pursuant to SA-13 to the Purchase Agreement are classified as “*** Aircraft”, as further noted in Attachment A-1. For each *** Aircraft that Customer *** purchase, such *** Aircraft will be added to the Purchase Agreement as a “SA-13 *** 787 Aircraft” and will be subject to the terms contained in letter agreement no. UAL-PA-04815-LA-23005341 entitled “Special Matters – SA-13 *** Aircraft”.</w:t>
      </w:r>
    </w:p>
    <w:p>
      <w:pPr>
        <w:spacing w:after="0" w:line="200" w:lineRule="exact"/>
        <w:rPr>
          <w:sz w:val="20"/>
          <w:szCs w:val="20"/>
          <w:color w:val="auto"/>
        </w:rPr>
      </w:pPr>
    </w:p>
    <w:p>
      <w:pPr>
        <w:spacing w:after="0" w:line="37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SA-15</w:t>
      </w:r>
    </w:p>
    <w:p>
      <w:pPr>
        <w:spacing w:after="0" w:line="29"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UAL-PA-04815-LA-1802897R4, *** Aircraft</w:t>
      </w:r>
      <w:r>
        <w:rPr>
          <w:sz w:val="20"/>
          <w:szCs w:val="20"/>
          <w:color w:val="auto"/>
        </w:rPr>
        <w:tab/>
      </w:r>
      <w:r>
        <w:rPr>
          <w:rFonts w:ascii="Times New Roman" w:cs="Times New Roman" w:eastAsia="Times New Roman" w:hAnsi="Times New Roman"/>
          <w:sz w:val="21"/>
          <w:szCs w:val="21"/>
          <w:color w:val="auto"/>
        </w:rPr>
        <w:t>Page 3</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rPr>
          <w:sz w:val="20"/>
          <w:szCs w:val="20"/>
          <w:color w:val="auto"/>
        </w:rPr>
      </w:pPr>
      <w:r>
        <w:rPr>
          <w:rFonts w:ascii="Times New Roman" w:cs="Times New Roman" w:eastAsia="Times New Roman" w:hAnsi="Times New Roman"/>
          <w:sz w:val="13"/>
          <w:szCs w:val="13"/>
          <w:color w:val="auto"/>
        </w:rPr>
        <w:t>4911-2074-1249</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80" w:firstLine="571"/>
        <w:spacing w:after="0" w:line="260" w:lineRule="auto"/>
        <w:rPr>
          <w:sz w:val="20"/>
          <w:szCs w:val="20"/>
          <w:color w:val="auto"/>
        </w:rPr>
      </w:pPr>
      <w:r>
        <w:rPr>
          <w:rFonts w:ascii="Times New Roman" w:cs="Times New Roman" w:eastAsia="Times New Roman" w:hAnsi="Times New Roman"/>
          <w:sz w:val="21"/>
          <w:szCs w:val="21"/>
          <w:color w:val="auto"/>
        </w:rPr>
        <w:t>4.4. The *** Aircraft in Attachment A-1 are scheduled by ***. Upon *** of an *** Aircraft, Boeing may, upon written notice to Customer, *** the scheduled delivery *** shown in Attachment A-1 by ***, provided such notice is given *** before the scheduled delivery *** for *** Aircraft specified in Section 4.1.1, *** before the scheduled delivery *** for *** Aircraft specified in Section 4.1.2.1, and *** before the scheduled delivery *** for *** Aircraft specified in Section 4.1.2.2; provided further, that Boeing ***. Any such *** will amend the *** Aircraft delivery schedule and all other applicable terms and conditions will be *** accordingly. *** (as defined in Section 7.1 of the AGTA) or *** (as defined in Letter Agreement UAL-PA-04815-LA-2505473, entitled “787 ***”), and all applicable terms and conditions set forth in the Purchase Agreement, (e.g.,</w:t>
      </w:r>
    </w:p>
    <w:p>
      <w:pPr>
        <w:spacing w:after="0" w:line="2" w:lineRule="exact"/>
        <w:rPr>
          <w:sz w:val="20"/>
          <w:szCs w:val="20"/>
          <w:color w:val="auto"/>
        </w:rPr>
      </w:pPr>
    </w:p>
    <w:p>
      <w:pPr>
        <w:ind w:left="460" w:hanging="375"/>
        <w:spacing w:after="0"/>
        <w:tabs>
          <w:tab w:leader="none" w:pos="46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 and ***) shall be aligned to such *** delivery ***.</w:t>
      </w:r>
    </w:p>
    <w:p>
      <w:pPr>
        <w:spacing w:after="0" w:line="19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Contract Terms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Boeing and Customer will use their best efforts to reach a definitive agreement for the purchase of an *** Aircraft, including the terms and conditions contained in this Letter Agreement, in the Purchase Agreement, and other terms and conditions as may be agreed upon to add the *** Aircraft to the Purchase Agreement as an Aircraft. If the parties have not entered into a definitive agreement within *** following ***, either party *** the purchase of *** Aircraft by giving written notice to the other within ***. If Customer and Boeing *** into such definitive agreement and *** Aircraft, Boeing will (i) ***</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the *** for that *** Aircraft; (ii) apply *** by Customer on any Boeing aircraft as ***; and (iii) except as expressly provided herein, have no further obligation with respect to *** Aircraft.</w:t>
      </w:r>
    </w:p>
    <w:p>
      <w:pPr>
        <w:spacing w:after="0" w:line="200" w:lineRule="exact"/>
        <w:rPr>
          <w:sz w:val="20"/>
          <w:szCs w:val="20"/>
          <w:color w:val="auto"/>
        </w:rPr>
      </w:pPr>
    </w:p>
    <w:p>
      <w:pPr>
        <w:spacing w:after="0" w:line="362"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SA-15</w:t>
      </w:r>
    </w:p>
    <w:p>
      <w:pPr>
        <w:spacing w:after="0" w:line="2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UAL-PA-04815-LA-1802897R4, *** Aircraft</w:t>
      </w:r>
      <w:r>
        <w:rPr>
          <w:sz w:val="20"/>
          <w:szCs w:val="20"/>
          <w:color w:val="auto"/>
        </w:rPr>
        <w:tab/>
      </w:r>
      <w:r>
        <w:rPr>
          <w:rFonts w:ascii="Times New Roman" w:cs="Times New Roman" w:eastAsia="Times New Roman" w:hAnsi="Times New Roman"/>
          <w:sz w:val="21"/>
          <w:szCs w:val="21"/>
          <w:color w:val="auto"/>
        </w:rPr>
        <w:t>Page 4</w:t>
      </w:r>
    </w:p>
    <w:p>
      <w:pPr>
        <w:ind w:left="4380"/>
        <w:spacing w:after="0" w:line="233" w:lineRule="auto"/>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rPr>
          <w:sz w:val="20"/>
          <w:szCs w:val="20"/>
          <w:color w:val="auto"/>
        </w:rPr>
      </w:pPr>
      <w:r>
        <w:rPr>
          <w:rFonts w:ascii="Times New Roman" w:cs="Times New Roman" w:eastAsia="Times New Roman" w:hAnsi="Times New Roman"/>
          <w:sz w:val="13"/>
          <w:szCs w:val="13"/>
          <w:color w:val="auto"/>
        </w:rPr>
        <w:t>4911-2074-1249</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the rights and obligations described in this Letter Agreement are provided to Customer in consideration of Customer’s becoming the operator of the Aircraft and cannot be assigned in whole or in part.</w:t>
      </w:r>
    </w:p>
    <w:p>
      <w:pPr>
        <w:spacing w:after="0" w:line="163"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Treatment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301"/>
        <w:spacing w:after="0" w:line="257"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Attachment A-1: 787-***: *** Aircraft Delivery, Description, Price and ***</w:t>
      </w:r>
    </w:p>
    <w:p>
      <w:pPr>
        <w:spacing w:after="0" w:line="2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Irma L. Krueger</w:t>
            </w:r>
          </w:p>
        </w:tc>
      </w:tr>
      <w:tr>
        <w:trPr>
          <w:trHeight w:val="520"/>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7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SA-15</w:t>
      </w:r>
    </w:p>
    <w:p>
      <w:pPr>
        <w:spacing w:after="0" w:line="2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UAL-PA-04815-LA-1802897R4, *** Aircraft</w:t>
      </w:r>
      <w:r>
        <w:rPr>
          <w:sz w:val="20"/>
          <w:szCs w:val="20"/>
          <w:color w:val="auto"/>
        </w:rPr>
        <w:tab/>
      </w:r>
      <w:r>
        <w:rPr>
          <w:rFonts w:ascii="Times New Roman" w:cs="Times New Roman" w:eastAsia="Times New Roman" w:hAnsi="Times New Roman"/>
          <w:sz w:val="21"/>
          <w:szCs w:val="21"/>
          <w:color w:val="auto"/>
        </w:rPr>
        <w:t>Page 5</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4911-2074-1249</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87" w:lineRule="exact"/>
        <w:rPr>
          <w:sz w:val="20"/>
          <w:szCs w:val="20"/>
          <w:color w:val="auto"/>
        </w:rPr>
      </w:pPr>
    </w:p>
    <w:tbl>
      <w:tblPr>
        <w:tblLayout w:type="fixed"/>
        <w:tblInd w:w="180" w:type="dxa"/>
        <w:tblCellMar>
          <w:top w:w="0" w:type="dxa"/>
          <w:left w:w="0" w:type="dxa"/>
          <w:bottom w:w="0" w:type="dxa"/>
          <w:right w:w="0" w:type="dxa"/>
        </w:tblCellMar>
      </w:tblP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200" w:type="dxa"/>
            <w:vAlign w:val="bottom"/>
          </w:tcPr>
          <w:p>
            <w:pPr>
              <w:spacing w:after="0"/>
              <w:rPr>
                <w:sz w:val="24"/>
                <w:szCs w:val="24"/>
                <w:color w:val="auto"/>
              </w:rPr>
            </w:pPr>
          </w:p>
        </w:tc>
        <w:tc>
          <w:tcPr>
            <w:tcW w:w="6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December 30, 2025</w:t>
            </w:r>
          </w:p>
        </w:tc>
      </w:tr>
      <w:tr>
        <w:trPr>
          <w:trHeight w:val="525"/>
        </w:trPr>
        <w:tc>
          <w:tcPr>
            <w:tcW w:w="84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4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John Gebo</w:t>
            </w:r>
          </w:p>
        </w:tc>
      </w:tr>
      <w:tr>
        <w:trPr>
          <w:trHeight w:val="52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7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SVP Treasury, Fleet &amp; Fuel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SA-15</w:t>
      </w:r>
    </w:p>
    <w:p>
      <w:pPr>
        <w:spacing w:after="0" w:line="29"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UAL-PA-04815-LA-1802897R4, *** Aircraft</w:t>
      </w:r>
      <w:r>
        <w:rPr>
          <w:sz w:val="20"/>
          <w:szCs w:val="20"/>
          <w:color w:val="auto"/>
        </w:rPr>
        <w:tab/>
      </w:r>
      <w:r>
        <w:rPr>
          <w:rFonts w:ascii="Times New Roman" w:cs="Times New Roman" w:eastAsia="Times New Roman" w:hAnsi="Times New Roman"/>
          <w:sz w:val="21"/>
          <w:szCs w:val="21"/>
          <w:color w:val="auto"/>
        </w:rPr>
        <w:t>Page 6</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rPr>
          <w:sz w:val="20"/>
          <w:szCs w:val="20"/>
          <w:color w:val="auto"/>
        </w:rPr>
      </w:pPr>
      <w:r>
        <w:rPr>
          <w:rFonts w:ascii="Times New Roman" w:cs="Times New Roman" w:eastAsia="Times New Roman" w:hAnsi="Times New Roman"/>
          <w:sz w:val="13"/>
          <w:szCs w:val="13"/>
          <w:color w:val="auto"/>
        </w:rPr>
        <w:t>4911-2074-1249</w:t>
      </w:r>
    </w:p>
    <w:p>
      <w:pPr>
        <w:sectPr>
          <w:pgSz w:w="11900" w:h="16838" w:orient="portrait"/>
          <w:cols w:equalWidth="0" w:num="1">
            <w:col w:w="10139"/>
          </w:cols>
          <w:pgMar w:left="320" w:top="1440" w:right="1440" w:bottom="1440" w:gutter="0" w:footer="0" w:header="0"/>
        </w:sectPr>
      </w:pPr>
    </w:p>
    <w:bookmarkStart w:id="190" w:name="page191"/>
    <w:bookmarkEnd w:id="190"/>
    <w:p>
      <w:pPr>
        <w:jc w:val="center"/>
        <w:ind w:left="1560" w:right="1520"/>
        <w:spacing w:after="0"/>
        <w:rPr>
          <w:sz w:val="20"/>
          <w:szCs w:val="20"/>
          <w:color w:val="auto"/>
        </w:rPr>
      </w:pPr>
      <w:r>
        <w:rPr>
          <w:rFonts w:ascii="Arial" w:cs="Arial" w:eastAsia="Arial" w:hAnsi="Arial"/>
          <w:sz w:val="22"/>
          <w:szCs w:val="22"/>
          <w:b w:val="1"/>
          <w:bCs w:val="1"/>
          <w:color w:val="auto"/>
        </w:rPr>
        <w:t>Attachment A-1 to Letter Agreement 04815-LA-1802897R4 Entitled "*** Aircraft" 787-*** Aircraft Delivery, Description, Price and *** (787-***)</w:t>
      </w:r>
    </w:p>
    <w:p>
      <w:pPr>
        <w:sectPr>
          <w:pgSz w:w="11900" w:h="16838" w:orient="portrait"/>
          <w:cols w:equalWidth="0" w:num="1">
            <w:col w:w="11200"/>
          </w:cols>
          <w:pgMar w:left="320" w:top="9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Airframe</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Model/MTOW:</w:t>
            </w:r>
          </w:p>
        </w:tc>
        <w:tc>
          <w:tcPr>
            <w:tcW w:w="660" w:type="dxa"/>
            <w:vAlign w:val="bottom"/>
          </w:tcPr>
          <w:p>
            <w:pPr>
              <w:spacing w:after="0"/>
              <w:rPr>
                <w:sz w:val="20"/>
                <w:szCs w:val="20"/>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pounds+C131</w:t>
            </w:r>
          </w:p>
        </w:tc>
      </w:t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Engine Model/Thrust:</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pounds</w:t>
            </w:r>
          </w:p>
        </w:tc>
      </w:tr>
      <w:tr>
        <w:trPr>
          <w:trHeight w:val="41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Airframe Price:</w:t>
            </w:r>
          </w:p>
        </w:tc>
        <w:tc>
          <w:tcPr>
            <w:tcW w:w="66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jc w:val="right"/>
              <w:ind w:right="2248"/>
              <w:spacing w:after="0"/>
              <w:rPr>
                <w:sz w:val="20"/>
                <w:szCs w:val="20"/>
                <w:color w:val="auto"/>
              </w:rPr>
            </w:pPr>
            <w:r>
              <w:rPr>
                <w:rFonts w:ascii="Times New Roman" w:cs="Times New Roman" w:eastAsia="Times New Roman" w:hAnsi="Times New Roman"/>
                <w:sz w:val="10"/>
                <w:szCs w:val="10"/>
                <w:color w:val="auto"/>
                <w:w w:val="79"/>
              </w:rPr>
              <w:t>1</w:t>
            </w:r>
          </w:p>
        </w:tc>
        <w:tc>
          <w:tcPr>
            <w:tcW w:w="41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Aircraft Configuration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360" w:type="dxa"/>
            <w:vAlign w:val="bottom"/>
          </w:tcPr>
          <w:p>
            <w:pPr>
              <w:spacing w:after="0"/>
              <w:rPr>
                <w:sz w:val="20"/>
                <w:szCs w:val="20"/>
                <w:color w:val="auto"/>
              </w:rPr>
            </w:pPr>
          </w:p>
        </w:tc>
        <w:tc>
          <w:tcPr>
            <w:tcW w:w="41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Specification:</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184"/>
        </w:trPr>
        <w:tc>
          <w:tcPr>
            <w:tcW w:w="2360" w:type="dxa"/>
            <w:vAlign w:val="bottom"/>
          </w:tcPr>
          <w:p>
            <w:pPr>
              <w:jc w:val="right"/>
              <w:ind w:right="2248"/>
              <w:spacing w:after="0"/>
              <w:rPr>
                <w:sz w:val="20"/>
                <w:szCs w:val="20"/>
                <w:color w:val="auto"/>
              </w:rPr>
            </w:pPr>
            <w:r>
              <w:rPr>
                <w:rFonts w:ascii="Times New Roman" w:cs="Times New Roman" w:eastAsia="Times New Roman" w:hAnsi="Times New Roman"/>
                <w:sz w:val="10"/>
                <w:szCs w:val="10"/>
                <w:color w:val="auto"/>
                <w:w w:val="79"/>
              </w:rPr>
              <w:t>2</w:t>
            </w:r>
          </w:p>
        </w:tc>
        <w:tc>
          <w:tcPr>
            <w:tcW w:w="4100" w:type="dxa"/>
            <w:vAlign w:val="bottom"/>
          </w:tcPr>
          <w:p>
            <w:pPr>
              <w:ind w:left="2300"/>
              <w:spacing w:after="0" w:line="184" w:lineRule="exact"/>
              <w:rPr>
                <w:sz w:val="20"/>
                <w:szCs w:val="20"/>
                <w:color w:val="auto"/>
              </w:rPr>
            </w:pPr>
            <w:r>
              <w:rPr>
                <w:rFonts w:ascii="Times New Roman" w:cs="Times New Roman" w:eastAsia="Times New Roman" w:hAnsi="Times New Roman"/>
                <w:sz w:val="18"/>
                <w:szCs w:val="18"/>
                <w:color w:val="auto"/>
              </w:rPr>
              <w:t>Airframe Price Base</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360" w:type="dxa"/>
            <w:vAlign w:val="bottom"/>
          </w:tcPr>
          <w:p>
            <w:pPr>
              <w:spacing w:after="0"/>
              <w:rPr>
                <w:sz w:val="20"/>
                <w:szCs w:val="20"/>
                <w:color w:val="auto"/>
              </w:rPr>
            </w:pPr>
          </w:p>
        </w:tc>
        <w:tc>
          <w:tcPr>
            <w:tcW w:w="41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Year/*** Formula:</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184"/>
        </w:trPr>
        <w:tc>
          <w:tcPr>
            <w:tcW w:w="2360" w:type="dxa"/>
            <w:vAlign w:val="bottom"/>
          </w:tcPr>
          <w:p>
            <w:pPr>
              <w:spacing w:after="0"/>
              <w:rPr>
                <w:sz w:val="16"/>
                <w:szCs w:val="16"/>
                <w:color w:val="auto"/>
              </w:rPr>
            </w:pPr>
          </w:p>
        </w:tc>
        <w:tc>
          <w:tcPr>
            <w:tcW w:w="4100" w:type="dxa"/>
            <w:vAlign w:val="bottom"/>
          </w:tcPr>
          <w:p>
            <w:pPr>
              <w:ind w:left="2300"/>
              <w:spacing w:after="0" w:line="184" w:lineRule="exact"/>
              <w:rPr>
                <w:sz w:val="20"/>
                <w:szCs w:val="20"/>
                <w:color w:val="auto"/>
              </w:rPr>
            </w:pPr>
            <w:r>
              <w:rPr>
                <w:rFonts w:ascii="Times New Roman" w:cs="Times New Roman" w:eastAsia="Times New Roman" w:hAnsi="Times New Roman"/>
                <w:sz w:val="18"/>
                <w:szCs w:val="18"/>
                <w:color w:val="auto"/>
              </w:rPr>
              <w:t>Engine Price Base</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360" w:type="dxa"/>
            <w:vAlign w:val="bottom"/>
          </w:tcPr>
          <w:p>
            <w:pPr>
              <w:spacing w:after="0"/>
              <w:rPr>
                <w:sz w:val="20"/>
                <w:szCs w:val="20"/>
                <w:color w:val="auto"/>
              </w:rPr>
            </w:pPr>
          </w:p>
        </w:tc>
        <w:tc>
          <w:tcPr>
            <w:tcW w:w="41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Year/*** Formula:</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4" w:lineRule="exact"/>
        <w:rPr>
          <w:sz w:val="20"/>
          <w:szCs w:val="20"/>
          <w:color w:val="auto"/>
        </w:rPr>
      </w:pPr>
    </w:p>
    <w:p>
      <w:pPr>
        <w:sectPr>
          <w:pgSz w:w="11900" w:h="16838" w:orient="portrait"/>
          <w:cols w:equalWidth="0" w:num="2">
            <w:col w:w="3620" w:space="40"/>
            <w:col w:w="7540"/>
          </w:cols>
          <w:pgMar w:left="320" w:top="98" w:right="37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Optional Features:</w:t>
            </w: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tcPr>
          <w:p>
            <w:pPr>
              <w:jc w:val="right"/>
              <w:ind w:right="4537"/>
              <w:spacing w:after="0"/>
              <w:rPr>
                <w:sz w:val="20"/>
                <w:szCs w:val="20"/>
                <w:color w:val="auto"/>
              </w:rPr>
            </w:pPr>
            <w:r>
              <w:rPr>
                <w:rFonts w:ascii="Times New Roman" w:cs="Times New Roman" w:eastAsia="Times New Roman" w:hAnsi="Times New Roman"/>
                <w:sz w:val="13"/>
                <w:szCs w:val="13"/>
                <w:color w:val="auto"/>
                <w:w w:val="91"/>
              </w:rPr>
              <w:t>3</w:t>
            </w:r>
          </w:p>
        </w:tc>
        <w:tc>
          <w:tcPr>
            <w:tcW w:w="1400" w:type="dxa"/>
            <w:vAlign w:val="bottom"/>
          </w:tcPr>
          <w:p>
            <w:pPr>
              <w:spacing w:after="0"/>
              <w:rPr>
                <w:sz w:val="20"/>
                <w:szCs w:val="20"/>
                <w:color w:val="auto"/>
              </w:rPr>
            </w:pPr>
          </w:p>
        </w:tc>
      </w:tr>
      <w:tr>
        <w:trPr>
          <w:trHeight w:val="16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Sub-Total of Airframe and</w:t>
            </w:r>
          </w:p>
        </w:tc>
        <w:tc>
          <w:tcPr>
            <w:tcW w:w="10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color w:val="auto"/>
              </w:rPr>
              <w:t>***</w:t>
            </w:r>
          </w:p>
        </w:tc>
        <w:tc>
          <w:tcPr>
            <w:tcW w:w="4680" w:type="dxa"/>
            <w:vAlign w:val="bottom"/>
          </w:tcPr>
          <w:p>
            <w:pPr>
              <w:spacing w:after="0"/>
              <w:rPr>
                <w:sz w:val="14"/>
                <w:szCs w:val="14"/>
                <w:color w:val="auto"/>
              </w:rPr>
            </w:pPr>
          </w:p>
        </w:tc>
        <w:tc>
          <w:tcPr>
            <w:tcW w:w="14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Airframe *** Data:</w:t>
            </w: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Features:</w:t>
            </w:r>
          </w:p>
        </w:tc>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00"/>
          </w:cols>
          <w:pgMar w:left="320" w:top="98" w:right="379" w:bottom="1440" w:gutter="0" w:footer="0" w:header="0"/>
          <w:type w:val="continuous"/>
        </w:sectPr>
      </w:pPr>
    </w:p>
    <w:tbl>
      <w:tblPr>
        <w:tblLayout w:type="fixed"/>
        <w:tblInd w:w="20" w:type="dxa"/>
        <w:tblCellMar>
          <w:top w:w="0" w:type="dxa"/>
          <w:left w:w="0" w:type="dxa"/>
          <w:bottom w:w="0" w:type="dxa"/>
          <w:right w:w="0" w:type="dxa"/>
        </w:tblCellMar>
      </w:tblPr>
      <w:tr>
        <w:trPr>
          <w:trHeight w:val="171"/>
        </w:trPr>
        <w:tc>
          <w:tcPr>
            <w:tcW w:w="25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Engine Price (Per</w:t>
            </w:r>
          </w:p>
        </w:tc>
        <w:tc>
          <w:tcPr>
            <w:tcW w:w="1060" w:type="dxa"/>
            <w:vAlign w:val="bottom"/>
          </w:tcPr>
          <w:p>
            <w:pPr>
              <w:jc w:val="right"/>
              <w:ind w:right="670"/>
              <w:spacing w:after="0" w:line="170" w:lineRule="exact"/>
              <w:rPr>
                <w:sz w:val="20"/>
                <w:szCs w:val="20"/>
                <w:color w:val="auto"/>
              </w:rPr>
            </w:pPr>
            <w:r>
              <w:rPr>
                <w:rFonts w:ascii="Times New Roman" w:cs="Times New Roman" w:eastAsia="Times New Roman" w:hAnsi="Times New Roman"/>
                <w:sz w:val="18"/>
                <w:szCs w:val="18"/>
                <w:color w:val="auto"/>
              </w:rPr>
              <w:t>***</w:t>
            </w: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1060" w:type="dxa"/>
            <w:vAlign w:val="bottom"/>
            <w:tcBorders>
              <w:bottom w:val="single" w:sz="8" w:color="auto"/>
            </w:tcBorders>
          </w:tcPr>
          <w:p>
            <w:pPr>
              <w:spacing w:after="0"/>
              <w:rPr>
                <w:sz w:val="20"/>
                <w:szCs w:val="20"/>
                <w:color w:val="auto"/>
              </w:rPr>
            </w:pPr>
          </w:p>
        </w:tc>
      </w:tr>
      <w:tr>
        <w:trPr>
          <w:trHeight w:val="176"/>
        </w:trPr>
        <w:tc>
          <w:tcPr>
            <w:tcW w:w="2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Aircraft Basic Price (Excluding</w:t>
            </w:r>
          </w:p>
        </w:tc>
        <w:tc>
          <w:tcPr>
            <w:tcW w:w="1060" w:type="dxa"/>
            <w:vAlign w:val="bottom"/>
          </w:tcPr>
          <w:p>
            <w:pPr>
              <w:jc w:val="right"/>
              <w:ind w:right="67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BFE/SPE):</w:t>
            </w:r>
          </w:p>
        </w:tc>
        <w:tc>
          <w:tcPr>
            <w:tcW w:w="1060" w:type="dxa"/>
            <w:vAlign w:val="bottom"/>
            <w:tcBorders>
              <w:bottom w:val="single" w:sz="8" w:color="auto"/>
            </w:tcBorders>
          </w:tcPr>
          <w:p>
            <w:pPr>
              <w:spacing w:after="0"/>
              <w:rPr>
                <w:sz w:val="17"/>
                <w:szCs w:val="17"/>
                <w:color w:val="auto"/>
              </w:rPr>
            </w:pPr>
          </w:p>
        </w:tc>
      </w:tr>
    </w:tbl>
    <w:p>
      <w:pPr>
        <w:ind w:left="20"/>
        <w:spacing w:after="0" w:line="236" w:lineRule="auto"/>
        <w:rPr>
          <w:sz w:val="20"/>
          <w:szCs w:val="20"/>
          <w:color w:val="auto"/>
        </w:rPr>
      </w:pPr>
      <w:r>
        <w:rPr>
          <w:rFonts w:ascii="Times New Roman" w:cs="Times New Roman" w:eastAsia="Times New Roman" w:hAnsi="Times New Roman"/>
          <w:sz w:val="18"/>
          <w:szCs w:val="18"/>
          <w:color w:val="auto"/>
        </w:rPr>
        <w:t>Buyer Furnished Equipment (BFE)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-111760</wp:posOffset>
            </wp:positionV>
            <wp:extent cx="6686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1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Estimate: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Seller Purchased Equipment (SPE) ***</w:t>
      </w:r>
    </w:p>
    <w:p>
      <w:pPr>
        <w:spacing w:after="0" w:line="212" w:lineRule="exact"/>
        <w:rPr>
          <w:sz w:val="20"/>
          <w:szCs w:val="20"/>
          <w:color w:val="auto"/>
        </w:rPr>
      </w:pPr>
    </w:p>
    <w:p>
      <w:pPr>
        <w:ind w:left="20"/>
        <w:spacing w:after="0"/>
        <w:tabs>
          <w:tab w:leader="none" w:pos="2580" w:val="left"/>
        </w:tabs>
        <w:rPr>
          <w:sz w:val="20"/>
          <w:szCs w:val="20"/>
          <w:color w:val="auto"/>
        </w:rPr>
      </w:pPr>
      <w:r>
        <w:rPr>
          <w:rFonts w:ascii="Times New Roman" w:cs="Times New Roman" w:eastAsia="Times New Roman" w:hAnsi="Times New Roman"/>
          <w:sz w:val="18"/>
          <w:szCs w:val="18"/>
          <w:color w:val="auto"/>
        </w:rPr>
        <w:t>Deposit per Aircraft: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jc w:val="right"/>
              <w:ind w:right="4548"/>
              <w:spacing w:after="0"/>
              <w:rPr>
                <w:sz w:val="20"/>
                <w:szCs w:val="20"/>
                <w:color w:val="auto"/>
              </w:rPr>
            </w:pPr>
            <w:r>
              <w:rPr>
                <w:rFonts w:ascii="Times New Roman" w:cs="Times New Roman" w:eastAsia="Times New Roman" w:hAnsi="Times New Roman"/>
                <w:sz w:val="10"/>
                <w:szCs w:val="10"/>
                <w:color w:val="auto"/>
                <w:w w:val="79"/>
              </w:rPr>
              <w:t>2</w:t>
            </w:r>
          </w:p>
        </w:tc>
        <w:tc>
          <w:tcPr>
            <w:tcW w:w="1580" w:type="dxa"/>
            <w:vAlign w:val="bottom"/>
            <w:gridSpan w:val="3"/>
          </w:tcPr>
          <w:p>
            <w:pPr>
              <w:spacing w:after="0" w:line="170" w:lineRule="exact"/>
              <w:rPr>
                <w:sz w:val="20"/>
                <w:szCs w:val="20"/>
                <w:color w:val="auto"/>
              </w:rPr>
            </w:pPr>
            <w:r>
              <w:rPr>
                <w:rFonts w:ascii="Times New Roman" w:cs="Times New Roman" w:eastAsia="Times New Roman" w:hAnsi="Times New Roman"/>
                <w:sz w:val="18"/>
                <w:szCs w:val="18"/>
                <w:color w:val="auto"/>
              </w:rPr>
              <w:t>Base Year Index</w:t>
            </w:r>
          </w:p>
        </w:tc>
        <w:tc>
          <w:tcPr>
            <w:tcW w:w="6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46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(ECI):</w:t>
            </w:r>
          </w:p>
        </w:tc>
        <w:tc>
          <w:tcPr>
            <w:tcW w:w="660" w:type="dxa"/>
            <w:vAlign w:val="bottom"/>
          </w:tcPr>
          <w:p>
            <w:pPr>
              <w:spacing w:after="0"/>
              <w:rPr>
                <w:sz w:val="20"/>
                <w:szCs w:val="20"/>
                <w:color w:val="auto"/>
              </w:rPr>
            </w:pPr>
          </w:p>
        </w:tc>
      </w:tr>
      <w:tr>
        <w:trPr>
          <w:trHeight w:val="184"/>
        </w:trPr>
        <w:tc>
          <w:tcPr>
            <w:tcW w:w="4660" w:type="dxa"/>
            <w:vAlign w:val="bottom"/>
          </w:tcPr>
          <w:p>
            <w:pPr>
              <w:spacing w:after="0"/>
              <w:rPr>
                <w:sz w:val="16"/>
                <w:szCs w:val="16"/>
                <w:color w:val="auto"/>
              </w:rPr>
            </w:pPr>
          </w:p>
        </w:tc>
        <w:tc>
          <w:tcPr>
            <w:tcW w:w="158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Base Year Index</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46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(CPI):</w:t>
            </w:r>
          </w:p>
        </w:tc>
        <w:tc>
          <w:tcPr>
            <w:tcW w:w="660" w:type="dxa"/>
            <w:vAlign w:val="bottom"/>
          </w:tcPr>
          <w:p>
            <w:pPr>
              <w:spacing w:after="0"/>
              <w:rPr>
                <w:sz w:val="20"/>
                <w:szCs w:val="20"/>
                <w:color w:val="auto"/>
              </w:rPr>
            </w:pPr>
          </w:p>
        </w:tc>
      </w:tr>
      <w:tr>
        <w:trPr>
          <w:trHeight w:val="198"/>
        </w:trPr>
        <w:tc>
          <w:tcPr>
            <w:tcW w:w="4660" w:type="dxa"/>
            <w:vAlign w:val="bottom"/>
          </w:tcPr>
          <w:p>
            <w:pPr>
              <w:spacing w:after="0"/>
              <w:rPr>
                <w:sz w:val="17"/>
                <w:szCs w:val="17"/>
                <w:color w:val="auto"/>
              </w:rPr>
            </w:pPr>
          </w:p>
        </w:tc>
        <w:tc>
          <w:tcPr>
            <w:tcW w:w="15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Engine</w:t>
            </w:r>
          </w:p>
        </w:tc>
        <w:tc>
          <w:tcPr>
            <w:tcW w:w="66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5"/>
        </w:trPr>
        <w:tc>
          <w:tcPr>
            <w:tcW w:w="4660" w:type="dxa"/>
            <w:vAlign w:val="bottom"/>
          </w:tcPr>
          <w:p>
            <w:pPr>
              <w:spacing w:after="0"/>
              <w:rPr>
                <w:sz w:val="13"/>
                <w:szCs w:val="13"/>
                <w:color w:val="auto"/>
              </w:rPr>
            </w:pPr>
          </w:p>
        </w:tc>
        <w:tc>
          <w:tcPr>
            <w:tcW w:w="700" w:type="dxa"/>
            <w:vAlign w:val="bottom"/>
            <w:tcBorders>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6"/>
              </w:rPr>
              <w:t>*** Data:</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0"/>
        </w:trPr>
        <w:tc>
          <w:tcPr>
            <w:tcW w:w="4660" w:type="dxa"/>
            <w:vAlign w:val="bottom"/>
          </w:tcPr>
          <w:p>
            <w:pPr>
              <w:jc w:val="right"/>
              <w:ind w:right="4548"/>
              <w:spacing w:after="0"/>
              <w:rPr>
                <w:sz w:val="20"/>
                <w:szCs w:val="20"/>
                <w:color w:val="auto"/>
              </w:rPr>
            </w:pPr>
            <w:r>
              <w:rPr>
                <w:rFonts w:ascii="Times New Roman" w:cs="Times New Roman" w:eastAsia="Times New Roman" w:hAnsi="Times New Roman"/>
                <w:sz w:val="10"/>
                <w:szCs w:val="10"/>
                <w:color w:val="auto"/>
                <w:w w:val="79"/>
              </w:rPr>
              <w:t>3</w:t>
            </w: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Base Year Index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(ECI):</w:t>
            </w:r>
          </w:p>
        </w:tc>
        <w:tc>
          <w:tcPr>
            <w:tcW w:w="660" w:type="dxa"/>
            <w:vAlign w:val="bottom"/>
          </w:tcPr>
          <w:p>
            <w:pPr>
              <w:spacing w:after="0"/>
              <w:rPr>
                <w:sz w:val="20"/>
                <w:szCs w:val="20"/>
                <w:color w:val="auto"/>
              </w:rPr>
            </w:pPr>
          </w:p>
        </w:tc>
      </w:tr>
      <w:tr>
        <w:trPr>
          <w:trHeight w:val="184"/>
        </w:trPr>
        <w:tc>
          <w:tcPr>
            <w:tcW w:w="4660" w:type="dxa"/>
            <w:vAlign w:val="bottom"/>
          </w:tcPr>
          <w:p>
            <w:pPr>
              <w:jc w:val="right"/>
              <w:ind w:right="4548"/>
              <w:spacing w:after="0"/>
              <w:rPr>
                <w:sz w:val="20"/>
                <w:szCs w:val="20"/>
                <w:color w:val="auto"/>
              </w:rPr>
            </w:pPr>
            <w:r>
              <w:rPr>
                <w:rFonts w:ascii="Times New Roman" w:cs="Times New Roman" w:eastAsia="Times New Roman" w:hAnsi="Times New Roman"/>
                <w:sz w:val="10"/>
                <w:szCs w:val="10"/>
                <w:color w:val="auto"/>
                <w:w w:val="79"/>
              </w:rPr>
              <w:t>4</w:t>
            </w:r>
          </w:p>
        </w:tc>
        <w:tc>
          <w:tcPr>
            <w:tcW w:w="158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Base Year Index</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46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(CPI):</w:t>
            </w:r>
          </w:p>
        </w:tc>
        <w:tc>
          <w:tcPr>
            <w:tcW w:w="6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3640" w:space="20"/>
            <w:col w:w="7540"/>
          </w:cols>
          <w:pgMar w:left="320" w:top="98" w:right="379" w:bottom="1440" w:gutter="0" w:footer="0" w:header="0"/>
          <w:type w:val="continuous"/>
        </w:sectPr>
      </w:pP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40" w:type="dxa"/>
            <w:vAlign w:val="bottom"/>
            <w:tcBorders>
              <w:top w:val="single" w:sz="8" w:color="auto"/>
              <w:left w:val="single" w:sz="8" w:color="auto"/>
              <w:right w:val="single" w:sz="8" w:color="auto"/>
            </w:tcBorders>
          </w:tcPr>
          <w:p>
            <w:pPr>
              <w:spacing w:after="0"/>
              <w:rPr>
                <w:sz w:val="16"/>
                <w:szCs w:val="16"/>
                <w:color w:val="auto"/>
              </w:rPr>
            </w:pPr>
          </w:p>
        </w:tc>
        <w:tc>
          <w:tcPr>
            <w:tcW w:w="420" w:type="dxa"/>
            <w:vAlign w:val="bottom"/>
            <w:tcBorders>
              <w:top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720" w:type="dxa"/>
            <w:vAlign w:val="bottom"/>
            <w:tcBorders>
              <w:top w:val="single" w:sz="8" w:color="auto"/>
              <w:right w:val="single" w:sz="8" w:color="auto"/>
            </w:tcBorders>
          </w:tcPr>
          <w:p>
            <w:pPr>
              <w:spacing w:after="0"/>
              <w:rPr>
                <w:sz w:val="16"/>
                <w:szCs w:val="16"/>
                <w:color w:val="auto"/>
              </w:rPr>
            </w:pPr>
          </w:p>
        </w:tc>
        <w:tc>
          <w:tcPr>
            <w:tcW w:w="152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w:t>
            </w:r>
          </w:p>
        </w:tc>
        <w:tc>
          <w:tcPr>
            <w:tcW w:w="1500" w:type="dxa"/>
            <w:vAlign w:val="bottom"/>
            <w:tcBorders>
              <w:top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 (Amts. Due/***</w:t>
            </w:r>
          </w:p>
        </w:tc>
        <w:tc>
          <w:tcPr>
            <w:tcW w:w="3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auto"/>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Estimate</w:t>
            </w:r>
          </w:p>
        </w:tc>
        <w:tc>
          <w:tcPr>
            <w:tcW w:w="15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Prior to Delivery):</w:t>
            </w: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640" w:type="dxa"/>
            <w:vAlign w:val="bottom"/>
            <w:tcBorders>
              <w:left w:val="single" w:sz="8" w:color="auto"/>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rPr>
              <w:t>Contracted</w:t>
            </w:r>
          </w:p>
        </w:tc>
        <w:tc>
          <w:tcPr>
            <w:tcW w:w="70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rPr>
              <w:t>Number</w:t>
            </w:r>
          </w:p>
        </w:tc>
        <w:tc>
          <w:tcPr>
            <w:tcW w:w="10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6"/>
              </w:rPr>
              <w:t>***</w:t>
            </w:r>
          </w:p>
        </w:tc>
        <w:tc>
          <w:tcPr>
            <w:tcW w:w="7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Unique ***</w:t>
            </w:r>
          </w:p>
        </w:tc>
        <w:tc>
          <w:tcPr>
            <w:tcW w:w="80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6"/>
              </w:rPr>
              <w:t>***</w:t>
            </w:r>
          </w:p>
        </w:tc>
        <w:tc>
          <w:tcPr>
            <w:tcW w:w="84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 Base</w:t>
            </w:r>
          </w:p>
        </w:tc>
        <w:tc>
          <w:tcPr>
            <w:tcW w:w="7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40" w:type="dxa"/>
            <w:vAlign w:val="bottom"/>
            <w:tcBorders>
              <w:left w:val="single" w:sz="8" w:color="auto"/>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640" w:type="dxa"/>
            <w:vAlign w:val="bottom"/>
            <w:tcBorders>
              <w:left w:val="single" w:sz="8" w:color="auto"/>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 of</w:t>
            </w:r>
          </w:p>
        </w:tc>
        <w:tc>
          <w:tcPr>
            <w:tcW w:w="4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Delivery</w:t>
            </w:r>
          </w:p>
        </w:tc>
        <w:tc>
          <w:tcPr>
            <w:tcW w:w="7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of</w:t>
            </w:r>
          </w:p>
        </w:tc>
        <w:tc>
          <w:tcPr>
            <w:tcW w:w="10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 Factor</w:t>
            </w:r>
          </w:p>
        </w:tc>
        <w:tc>
          <w:tcPr>
            <w:tcW w:w="7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Factor</w:t>
            </w:r>
          </w:p>
        </w:tc>
        <w:tc>
          <w:tcPr>
            <w:tcW w:w="72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w:t>
            </w:r>
          </w:p>
        </w:tc>
        <w:tc>
          <w:tcPr>
            <w:tcW w:w="152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Characteristics, if</w:t>
            </w:r>
          </w:p>
        </w:tc>
        <w:tc>
          <w:tcPr>
            <w:tcW w:w="8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Leadtime</w:t>
            </w:r>
          </w:p>
        </w:tc>
        <w:tc>
          <w:tcPr>
            <w:tcW w:w="8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Expiration</w:t>
            </w:r>
          </w:p>
        </w:tc>
        <w:tc>
          <w:tcPr>
            <w:tcW w:w="84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Price Per</w:t>
            </w:r>
          </w:p>
        </w:tc>
        <w:tc>
          <w:tcPr>
            <w:tcW w:w="740" w:type="dxa"/>
            <w:vAlign w:val="bottom"/>
            <w:tcBorders>
              <w:right w:val="single" w:sz="8" w:color="auto"/>
            </w:tcBorders>
            <w:vMerge w:val="continue"/>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64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5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Aircraft</w:t>
            </w:r>
          </w:p>
        </w:tc>
        <w:tc>
          <w:tcPr>
            <w:tcW w:w="420" w:type="dxa"/>
            <w:vAlign w:val="bottom"/>
            <w:tcBorders>
              <w:bottom w:val="single" w:sz="8" w:color="auto"/>
              <w:right w:val="single" w:sz="8" w:color="auto"/>
            </w:tcBorders>
            <w:vMerge w:val="continue"/>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Aircraft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(Airframe)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(Engine)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Forecast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Any</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w:t>
            </w: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380" w:type="dxa"/>
            <w:vAlign w:val="bottom"/>
            <w:tcBorders>
              <w:bottom w:val="single" w:sz="8" w:color="auto"/>
              <w:right w:val="single" w:sz="8" w:color="auto"/>
            </w:tcBorders>
            <w:vMerge w:val="continue"/>
          </w:tcPr>
          <w:p>
            <w:pPr>
              <w:spacing w:after="0"/>
              <w:rPr>
                <w:sz w:val="19"/>
                <w:szCs w:val="19"/>
                <w:color w:val="auto"/>
              </w:rPr>
            </w:pPr>
          </w:p>
        </w:tc>
        <w:tc>
          <w:tcPr>
            <w:tcW w:w="380" w:type="dxa"/>
            <w:vAlign w:val="bottom"/>
            <w:tcBorders>
              <w:bottom w:val="single" w:sz="8" w:color="auto"/>
              <w:right w:val="single" w:sz="8" w:color="auto"/>
            </w:tcBorders>
            <w:vMerge w:val="continue"/>
          </w:tcPr>
          <w:p>
            <w:pPr>
              <w:spacing w:after="0"/>
              <w:rPr>
                <w:sz w:val="19"/>
                <w:szCs w:val="19"/>
                <w:color w:val="auto"/>
              </w:rPr>
            </w:pPr>
          </w:p>
        </w:tc>
        <w:tc>
          <w:tcPr>
            <w:tcW w:w="3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7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w:t>
            </w:r>
          </w:p>
        </w:tc>
        <w:tc>
          <w:tcPr>
            <w:tcW w:w="840" w:type="dxa"/>
            <w:vAlign w:val="bottom"/>
          </w:tcPr>
          <w:p>
            <w:pPr>
              <w:spacing w:after="0"/>
              <w:rPr>
                <w:sz w:val="19"/>
                <w:szCs w:val="19"/>
                <w:color w:val="auto"/>
              </w:rPr>
            </w:pPr>
          </w:p>
        </w:tc>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40"/>
        <w:spacing w:after="0" w:line="215" w:lineRule="auto"/>
        <w:rPr>
          <w:sz w:val="20"/>
          <w:szCs w:val="20"/>
          <w:color w:val="auto"/>
        </w:rPr>
      </w:pPr>
      <w:r>
        <w:rPr>
          <w:rFonts w:ascii="Times New Roman" w:cs="Times New Roman" w:eastAsia="Times New Roman" w:hAnsi="Times New Roman"/>
          <w:sz w:val="18"/>
          <w:szCs w:val="18"/>
          <w:color w:val="auto"/>
        </w:rPr>
        <w:t>Notes / Other</w:t>
      </w:r>
    </w:p>
    <w:p>
      <w:pPr>
        <w:ind w:left="640"/>
        <w:spacing w:after="0"/>
        <w:rPr>
          <w:sz w:val="20"/>
          <w:szCs w:val="20"/>
          <w:color w:val="auto"/>
        </w:rPr>
      </w:pPr>
      <w:r>
        <w:rPr>
          <w:rFonts w:ascii="Times New Roman" w:cs="Times New Roman" w:eastAsia="Times New Roman" w:hAnsi="Times New Roman"/>
          <w:sz w:val="18"/>
          <w:szCs w:val="18"/>
          <w:color w:val="auto"/>
        </w:rPr>
        <w:t>Information:</w:t>
      </w:r>
    </w:p>
    <w:p>
      <w:pPr>
        <w:ind w:left="1160" w:hanging="108"/>
        <w:spacing w:after="0" w:line="215" w:lineRule="auto"/>
        <w:tabs>
          <w:tab w:leader="none" w:pos="1160" w:val="left"/>
        </w:tabs>
        <w:numPr>
          <w:ilvl w:val="0"/>
          <w:numId w:val="14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w:t>
      </w:r>
    </w:p>
    <w:p>
      <w:pPr>
        <w:spacing w:after="0" w:line="12" w:lineRule="exact"/>
        <w:rPr>
          <w:rFonts w:ascii="Times New Roman" w:cs="Times New Roman" w:eastAsia="Times New Roman" w:hAnsi="Times New Roman"/>
          <w:sz w:val="28"/>
          <w:szCs w:val="28"/>
          <w:color w:val="auto"/>
          <w:vertAlign w:val="superscript"/>
        </w:rPr>
      </w:pPr>
    </w:p>
    <w:p>
      <w:pPr>
        <w:ind w:left="1060"/>
        <w:spacing w:after="0" w:line="201"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w:t>
      </w:r>
    </w:p>
    <w:p>
      <w:pPr>
        <w:ind w:left="1060"/>
        <w:spacing w:after="0" w:line="201"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w:t>
      </w:r>
    </w:p>
    <w:p>
      <w:pPr>
        <w:ind w:left="640"/>
        <w:spacing w:after="0"/>
        <w:rPr>
          <w:sz w:val="20"/>
          <w:szCs w:val="20"/>
          <w:color w:val="auto"/>
        </w:rPr>
      </w:pPr>
      <w:r>
        <w:rPr>
          <w:rFonts w:ascii="Times New Roman" w:cs="Times New Roman" w:eastAsia="Times New Roman" w:hAnsi="Times New Roman"/>
          <w:sz w:val="22"/>
          <w:szCs w:val="22"/>
          <w:color w:val="auto"/>
        </w:rPr>
        <w:t>This Attachment A-1 relects a *** 787-*** configuration. This is because the *** configuration is ***</w:t>
      </w:r>
    </w:p>
    <w:p>
      <w:pPr>
        <w:ind w:left="780" w:hanging="133"/>
        <w:spacing w:after="0" w:line="180" w:lineRule="auto"/>
        <w:tabs>
          <w:tab w:leader="none" w:pos="780" w:val="left"/>
        </w:tabs>
        <w:numPr>
          <w:ilvl w:val="0"/>
          <w:numId w:val="1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 Aircraft in this Attachment A-1 shown in a row with *** that such *** Aircraft is a *** Scheduled Delivery ***</w:t>
      </w:r>
    </w:p>
    <w:p>
      <w:pPr>
        <w:ind w:left="6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2"/>
          <w:szCs w:val="22"/>
          <w:color w:val="auto"/>
        </w:rPr>
        <w:t>Aircraft.** Aircraft</w:t>
      </w:r>
    </w:p>
    <w:p>
      <w:pPr>
        <w:spacing w:after="0" w:line="5" w:lineRule="exact"/>
        <w:rPr>
          <w:rFonts w:ascii="Times New Roman" w:cs="Times New Roman" w:eastAsia="Times New Roman" w:hAnsi="Times New Roman"/>
          <w:sz w:val="27"/>
          <w:szCs w:val="27"/>
          <w:color w:val="auto"/>
          <w:vertAlign w:val="superscript"/>
        </w:rPr>
      </w:pPr>
    </w:p>
    <w:p>
      <w:pPr>
        <w:ind w:left="1360" w:hanging="119"/>
        <w:spacing w:after="0"/>
        <w:tabs>
          <w:tab w:leader="none" w:pos="136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Accordingly, *** Base Price is based upon use of the Scheduled Delivery *** for such *</w:t>
      </w:r>
    </w:p>
    <w:p>
      <w:pPr>
        <w:spacing w:after="0" w:line="17" w:lineRule="exact"/>
        <w:rPr>
          <w:rFonts w:ascii="Times New Roman" w:cs="Times New Roman" w:eastAsia="Times New Roman" w:hAnsi="Times New Roman"/>
          <w:sz w:val="22"/>
          <w:szCs w:val="22"/>
          <w:color w:val="auto"/>
        </w:rPr>
      </w:pPr>
    </w:p>
    <w:p>
      <w:pPr>
        <w:ind w:left="800" w:hanging="153"/>
        <w:spacing w:after="0"/>
        <w:tabs>
          <w:tab w:leader="none" w:pos="800" w:val="left"/>
        </w:tabs>
        <w:numPr>
          <w:ilvl w:val="0"/>
          <w:numId w:val="1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For each *** Aircraft with a Contract Delivery *** that is ***:</w:t>
      </w:r>
    </w:p>
    <w:p>
      <w:pPr>
        <w:spacing w:after="0" w:line="17" w:lineRule="exact"/>
        <w:rPr>
          <w:rFonts w:ascii="Times New Roman" w:cs="Times New Roman" w:eastAsia="Times New Roman" w:hAnsi="Times New Roman"/>
          <w:sz w:val="22"/>
          <w:szCs w:val="22"/>
          <w:u w:val="single" w:color="auto"/>
          <w:color w:val="auto"/>
        </w:rPr>
      </w:pPr>
    </w:p>
    <w:p>
      <w:pPr>
        <w:ind w:left="1780" w:hanging="377"/>
        <w:spacing w:after="0"/>
        <w:tabs>
          <w:tab w:leader="none" w:pos="1780"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 Contract Delivery *** used in calculation of the estimate of the *** Base Price.</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Complete Schedule of *** Scheduled Delivery *** Aircraft is as follows:</w:t>
      </w:r>
    </w:p>
    <w:tbl>
      <w:tblPr>
        <w:tblLayout w:type="fixed"/>
        <w:tblInd w:w="660" w:type="dxa"/>
        <w:tblCellMar>
          <w:top w:w="0" w:type="dxa"/>
          <w:left w:w="0" w:type="dxa"/>
          <w:bottom w:w="0" w:type="dxa"/>
          <w:right w:w="0" w:type="dxa"/>
        </w:tblCellMar>
      </w:tblPr>
      <w:tr>
        <w:trPr>
          <w:trHeight w:val="221"/>
        </w:trPr>
        <w:tc>
          <w:tcPr>
            <w:tcW w:w="5400" w:type="dxa"/>
            <w:vAlign w:val="bottom"/>
          </w:tcPr>
          <w:p>
            <w:pPr>
              <w:jc w:val="right"/>
              <w:ind w:right="492"/>
              <w:spacing w:after="0" w:line="221" w:lineRule="exact"/>
              <w:rPr>
                <w:sz w:val="20"/>
                <w:szCs w:val="20"/>
                <w:color w:val="auto"/>
              </w:rPr>
            </w:pPr>
            <w:r>
              <w:rPr>
                <w:rFonts w:ascii="Times New Roman" w:cs="Times New Roman" w:eastAsia="Times New Roman" w:hAnsi="Times New Roman"/>
                <w:sz w:val="22"/>
                <w:szCs w:val="22"/>
                <w:color w:val="auto"/>
                <w:w w:val="98"/>
              </w:rPr>
              <w:t>The Aircraft in the Table 1 for 1st *** 787-*** are ***</w:t>
            </w:r>
          </w:p>
        </w:tc>
        <w:tc>
          <w:tcPr>
            <w:tcW w:w="1340" w:type="dxa"/>
            <w:vAlign w:val="bottom"/>
          </w:tcPr>
          <w:p>
            <w:pPr>
              <w:ind w:left="600"/>
              <w:spacing w:after="0" w:line="221" w:lineRule="exact"/>
              <w:rPr>
                <w:sz w:val="20"/>
                <w:szCs w:val="20"/>
                <w:color w:val="auto"/>
              </w:rPr>
            </w:pPr>
            <w:r>
              <w:rPr>
                <w:rFonts w:ascii="Times New Roman" w:cs="Times New Roman" w:eastAsia="Times New Roman" w:hAnsi="Times New Roman"/>
                <w:sz w:val="22"/>
                <w:szCs w:val="22"/>
                <w:color w:val="auto"/>
              </w:rPr>
              <w:t>through</w:t>
            </w:r>
          </w:p>
        </w:tc>
        <w:tc>
          <w:tcPr>
            <w:tcW w:w="640" w:type="dxa"/>
            <w:vAlign w:val="bottom"/>
          </w:tcPr>
          <w:p>
            <w:pPr>
              <w:jc w:val="right"/>
              <w:ind w:right="152"/>
              <w:spacing w:after="0" w:line="221" w:lineRule="exact"/>
              <w:rPr>
                <w:sz w:val="20"/>
                <w:szCs w:val="20"/>
                <w:color w:val="auto"/>
              </w:rPr>
            </w:pPr>
            <w:r>
              <w:rPr>
                <w:rFonts w:ascii="Times New Roman" w:cs="Times New Roman" w:eastAsia="Times New Roman" w:hAnsi="Times New Roman"/>
                <w:sz w:val="22"/>
                <w:szCs w:val="22"/>
                <w:color w:val="auto"/>
              </w:rPr>
              <w:t>***</w:t>
            </w:r>
          </w:p>
        </w:tc>
        <w:tc>
          <w:tcPr>
            <w:tcW w:w="2920" w:type="dxa"/>
            <w:vAlign w:val="bottom"/>
          </w:tcPr>
          <w:p>
            <w:pPr>
              <w:ind w:left="280"/>
              <w:spacing w:after="0" w:line="221" w:lineRule="exact"/>
              <w:rPr>
                <w:sz w:val="20"/>
                <w:szCs w:val="20"/>
                <w:color w:val="auto"/>
              </w:rPr>
            </w:pPr>
            <w:r>
              <w:rPr>
                <w:rFonts w:ascii="Times New Roman" w:cs="Times New Roman" w:eastAsia="Times New Roman" w:hAnsi="Times New Roman"/>
                <w:sz w:val="22"/>
                <w:szCs w:val="22"/>
                <w:color w:val="auto"/>
                <w:w w:val="97"/>
              </w:rPr>
              <w:t>of the *** Scheduled Delivery</w:t>
            </w:r>
          </w:p>
        </w:tc>
      </w:tr>
      <w:tr>
        <w:trPr>
          <w:trHeight w:val="270"/>
        </w:trPr>
        <w:tc>
          <w:tcPr>
            <w:tcW w:w="540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Aircraft #</w:t>
            </w:r>
          </w:p>
        </w:tc>
        <w:tc>
          <w:tcPr>
            <w:tcW w:w="1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9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 Aircraft.</w:t>
            </w:r>
          </w:p>
        </w:tc>
      </w:tr>
      <w:tr>
        <w:trPr>
          <w:trHeight w:val="216"/>
        </w:trPr>
        <w:tc>
          <w:tcPr>
            <w:tcW w:w="5400" w:type="dxa"/>
            <w:vAlign w:val="bottom"/>
          </w:tcPr>
          <w:p>
            <w:pPr>
              <w:jc w:val="right"/>
              <w:ind w:right="492"/>
              <w:spacing w:after="0" w:line="217" w:lineRule="exact"/>
              <w:rPr>
                <w:sz w:val="20"/>
                <w:szCs w:val="20"/>
                <w:color w:val="auto"/>
              </w:rPr>
            </w:pPr>
            <w:r>
              <w:rPr>
                <w:rFonts w:ascii="Times New Roman" w:cs="Times New Roman" w:eastAsia="Times New Roman" w:hAnsi="Times New Roman"/>
                <w:sz w:val="22"/>
                <w:szCs w:val="22"/>
                <w:color w:val="auto"/>
                <w:w w:val="97"/>
              </w:rPr>
              <w:t>The Aircraft in this LA-1802897R4 Attachment A- ***</w:t>
            </w:r>
          </w:p>
        </w:tc>
        <w:tc>
          <w:tcPr>
            <w:tcW w:w="1340" w:type="dxa"/>
            <w:vAlign w:val="bottom"/>
          </w:tcPr>
          <w:p>
            <w:pPr>
              <w:ind w:left="600"/>
              <w:spacing w:after="0" w:line="217" w:lineRule="exact"/>
              <w:rPr>
                <w:sz w:val="20"/>
                <w:szCs w:val="20"/>
                <w:color w:val="auto"/>
              </w:rPr>
            </w:pPr>
            <w:r>
              <w:rPr>
                <w:rFonts w:ascii="Times New Roman" w:cs="Times New Roman" w:eastAsia="Times New Roman" w:hAnsi="Times New Roman"/>
                <w:sz w:val="22"/>
                <w:szCs w:val="22"/>
                <w:color w:val="auto"/>
              </w:rPr>
              <w:t>through</w:t>
            </w:r>
          </w:p>
        </w:tc>
        <w:tc>
          <w:tcPr>
            <w:tcW w:w="640" w:type="dxa"/>
            <w:vAlign w:val="bottom"/>
          </w:tcPr>
          <w:p>
            <w:pPr>
              <w:jc w:val="right"/>
              <w:ind w:right="152"/>
              <w:spacing w:after="0" w:line="217" w:lineRule="exact"/>
              <w:rPr>
                <w:sz w:val="20"/>
                <w:szCs w:val="20"/>
                <w:color w:val="auto"/>
              </w:rPr>
            </w:pPr>
            <w:r>
              <w:rPr>
                <w:rFonts w:ascii="Times New Roman" w:cs="Times New Roman" w:eastAsia="Times New Roman" w:hAnsi="Times New Roman"/>
                <w:sz w:val="22"/>
                <w:szCs w:val="22"/>
                <w:color w:val="auto"/>
              </w:rPr>
              <w:t>***</w:t>
            </w:r>
          </w:p>
        </w:tc>
        <w:tc>
          <w:tcPr>
            <w:tcW w:w="2920" w:type="dxa"/>
            <w:vAlign w:val="bottom"/>
          </w:tcPr>
          <w:p>
            <w:pPr>
              <w:ind w:left="280"/>
              <w:spacing w:after="0" w:line="217" w:lineRule="exact"/>
              <w:rPr>
                <w:sz w:val="20"/>
                <w:szCs w:val="20"/>
                <w:color w:val="auto"/>
              </w:rPr>
            </w:pPr>
            <w:r>
              <w:rPr>
                <w:rFonts w:ascii="Times New Roman" w:cs="Times New Roman" w:eastAsia="Times New Roman" w:hAnsi="Times New Roman"/>
                <w:sz w:val="22"/>
                <w:szCs w:val="22"/>
                <w:color w:val="auto"/>
                <w:w w:val="97"/>
              </w:rPr>
              <w:t>of the *** Scheduled Delivery</w:t>
            </w:r>
          </w:p>
        </w:tc>
      </w:tr>
      <w:tr>
        <w:trPr>
          <w:trHeight w:val="270"/>
        </w:trPr>
        <w:tc>
          <w:tcPr>
            <w:tcW w:w="540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1 are Aircraft #</w:t>
            </w:r>
          </w:p>
        </w:tc>
        <w:tc>
          <w:tcPr>
            <w:tcW w:w="1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9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 Aircraft.</w:t>
            </w:r>
          </w:p>
        </w:tc>
      </w:tr>
      <w:tr>
        <w:trPr>
          <w:trHeight w:val="216"/>
        </w:trPr>
        <w:tc>
          <w:tcPr>
            <w:tcW w:w="5400" w:type="dxa"/>
            <w:vAlign w:val="bottom"/>
          </w:tcPr>
          <w:p>
            <w:pPr>
              <w:jc w:val="right"/>
              <w:ind w:right="492"/>
              <w:spacing w:after="0" w:line="217" w:lineRule="exact"/>
              <w:rPr>
                <w:sz w:val="20"/>
                <w:szCs w:val="20"/>
                <w:color w:val="auto"/>
              </w:rPr>
            </w:pPr>
            <w:r>
              <w:rPr>
                <w:rFonts w:ascii="Times New Roman" w:cs="Times New Roman" w:eastAsia="Times New Roman" w:hAnsi="Times New Roman"/>
                <w:sz w:val="22"/>
                <w:szCs w:val="22"/>
                <w:color w:val="auto"/>
              </w:rPr>
              <w:t>The Aircraft in Table 1 for the *** 787-*** are ***</w:t>
            </w:r>
          </w:p>
        </w:tc>
        <w:tc>
          <w:tcPr>
            <w:tcW w:w="1340" w:type="dxa"/>
            <w:vAlign w:val="bottom"/>
          </w:tcPr>
          <w:p>
            <w:pPr>
              <w:ind w:left="600"/>
              <w:spacing w:after="0" w:line="217" w:lineRule="exact"/>
              <w:rPr>
                <w:sz w:val="20"/>
                <w:szCs w:val="20"/>
                <w:color w:val="auto"/>
              </w:rPr>
            </w:pPr>
            <w:r>
              <w:rPr>
                <w:rFonts w:ascii="Times New Roman" w:cs="Times New Roman" w:eastAsia="Times New Roman" w:hAnsi="Times New Roman"/>
                <w:sz w:val="22"/>
                <w:szCs w:val="22"/>
                <w:color w:val="auto"/>
              </w:rPr>
              <w:t>through</w:t>
            </w:r>
          </w:p>
        </w:tc>
        <w:tc>
          <w:tcPr>
            <w:tcW w:w="640" w:type="dxa"/>
            <w:vAlign w:val="bottom"/>
          </w:tcPr>
          <w:p>
            <w:pPr>
              <w:jc w:val="right"/>
              <w:ind w:right="152"/>
              <w:spacing w:after="0" w:line="217" w:lineRule="exact"/>
              <w:rPr>
                <w:sz w:val="20"/>
                <w:szCs w:val="20"/>
                <w:color w:val="auto"/>
              </w:rPr>
            </w:pPr>
            <w:r>
              <w:rPr>
                <w:rFonts w:ascii="Times New Roman" w:cs="Times New Roman" w:eastAsia="Times New Roman" w:hAnsi="Times New Roman"/>
                <w:sz w:val="22"/>
                <w:szCs w:val="22"/>
                <w:color w:val="auto"/>
              </w:rPr>
              <w:t>***</w:t>
            </w:r>
          </w:p>
        </w:tc>
        <w:tc>
          <w:tcPr>
            <w:tcW w:w="2920" w:type="dxa"/>
            <w:vAlign w:val="bottom"/>
          </w:tcPr>
          <w:p>
            <w:pPr>
              <w:ind w:left="280"/>
              <w:spacing w:after="0" w:line="217" w:lineRule="exact"/>
              <w:rPr>
                <w:sz w:val="20"/>
                <w:szCs w:val="20"/>
                <w:color w:val="auto"/>
              </w:rPr>
            </w:pPr>
            <w:r>
              <w:rPr>
                <w:rFonts w:ascii="Times New Roman" w:cs="Times New Roman" w:eastAsia="Times New Roman" w:hAnsi="Times New Roman"/>
                <w:sz w:val="22"/>
                <w:szCs w:val="22"/>
                <w:color w:val="auto"/>
                <w:w w:val="97"/>
              </w:rPr>
              <w:t>of the *** Scheduled Delivery</w:t>
            </w:r>
          </w:p>
        </w:tc>
      </w:tr>
      <w:tr>
        <w:trPr>
          <w:trHeight w:val="270"/>
        </w:trPr>
        <w:tc>
          <w:tcPr>
            <w:tcW w:w="540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Aircraft #</w:t>
            </w:r>
          </w:p>
        </w:tc>
        <w:tc>
          <w:tcPr>
            <w:tcW w:w="1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9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 Aircraft.</w:t>
            </w:r>
          </w:p>
        </w:tc>
      </w:tr>
      <w:tr>
        <w:trPr>
          <w:trHeight w:val="216"/>
        </w:trPr>
        <w:tc>
          <w:tcPr>
            <w:tcW w:w="5400" w:type="dxa"/>
            <w:vAlign w:val="bottom"/>
          </w:tcPr>
          <w:p>
            <w:pPr>
              <w:jc w:val="right"/>
              <w:ind w:right="492"/>
              <w:spacing w:after="0" w:line="217" w:lineRule="exact"/>
              <w:rPr>
                <w:sz w:val="20"/>
                <w:szCs w:val="20"/>
                <w:color w:val="auto"/>
              </w:rPr>
            </w:pPr>
            <w:r>
              <w:rPr>
                <w:rFonts w:ascii="Times New Roman" w:cs="Times New Roman" w:eastAsia="Times New Roman" w:hAnsi="Times New Roman"/>
                <w:sz w:val="22"/>
                <w:szCs w:val="22"/>
                <w:color w:val="auto"/>
                <w:w w:val="99"/>
              </w:rPr>
              <w:t>The Aircraft in Table 1 for the New Configuration ***</w:t>
            </w:r>
          </w:p>
        </w:tc>
        <w:tc>
          <w:tcPr>
            <w:tcW w:w="1340" w:type="dxa"/>
            <w:vAlign w:val="bottom"/>
          </w:tcPr>
          <w:p>
            <w:pPr>
              <w:ind w:left="600"/>
              <w:spacing w:after="0" w:line="217" w:lineRule="exact"/>
              <w:rPr>
                <w:sz w:val="20"/>
                <w:szCs w:val="20"/>
                <w:color w:val="auto"/>
              </w:rPr>
            </w:pPr>
            <w:r>
              <w:rPr>
                <w:rFonts w:ascii="Times New Roman" w:cs="Times New Roman" w:eastAsia="Times New Roman" w:hAnsi="Times New Roman"/>
                <w:sz w:val="22"/>
                <w:szCs w:val="22"/>
                <w:color w:val="auto"/>
              </w:rPr>
              <w:t>through</w:t>
            </w:r>
          </w:p>
        </w:tc>
        <w:tc>
          <w:tcPr>
            <w:tcW w:w="640" w:type="dxa"/>
            <w:vAlign w:val="bottom"/>
          </w:tcPr>
          <w:p>
            <w:pPr>
              <w:jc w:val="right"/>
              <w:ind w:right="152"/>
              <w:spacing w:after="0" w:line="217" w:lineRule="exact"/>
              <w:rPr>
                <w:sz w:val="20"/>
                <w:szCs w:val="20"/>
                <w:color w:val="auto"/>
              </w:rPr>
            </w:pPr>
            <w:r>
              <w:rPr>
                <w:rFonts w:ascii="Times New Roman" w:cs="Times New Roman" w:eastAsia="Times New Roman" w:hAnsi="Times New Roman"/>
                <w:sz w:val="22"/>
                <w:szCs w:val="22"/>
                <w:color w:val="auto"/>
              </w:rPr>
              <w:t>***</w:t>
            </w:r>
          </w:p>
        </w:tc>
        <w:tc>
          <w:tcPr>
            <w:tcW w:w="2920" w:type="dxa"/>
            <w:vAlign w:val="bottom"/>
          </w:tcPr>
          <w:p>
            <w:pPr>
              <w:ind w:left="280"/>
              <w:spacing w:after="0" w:line="217" w:lineRule="exact"/>
              <w:rPr>
                <w:sz w:val="20"/>
                <w:szCs w:val="20"/>
                <w:color w:val="auto"/>
              </w:rPr>
            </w:pPr>
            <w:r>
              <w:rPr>
                <w:rFonts w:ascii="Times New Roman" w:cs="Times New Roman" w:eastAsia="Times New Roman" w:hAnsi="Times New Roman"/>
                <w:sz w:val="22"/>
                <w:szCs w:val="22"/>
                <w:color w:val="auto"/>
                <w:w w:val="97"/>
              </w:rPr>
              <w:t>of the *** Scheduled Delivery</w:t>
            </w:r>
          </w:p>
        </w:tc>
      </w:tr>
      <w:tr>
        <w:trPr>
          <w:trHeight w:val="282"/>
        </w:trPr>
        <w:tc>
          <w:tcPr>
            <w:tcW w:w="540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787-*** are Aircraft #</w:t>
            </w: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 Aircraft.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UAL-PA-04815-LA-1802897R4 APR 125312-</w:t>
            </w:r>
          </w:p>
        </w:tc>
        <w:tc>
          <w:tcPr>
            <w:tcW w:w="296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SA-15</w:t>
            </w:r>
          </w:p>
        </w:tc>
        <w:tc>
          <w:tcPr>
            <w:tcW w:w="0" w:type="dxa"/>
            <w:vAlign w:val="bottom"/>
          </w:tcPr>
          <w:p>
            <w:pPr>
              <w:spacing w:after="0"/>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29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Boeing Proprietary</w:t>
            </w:r>
          </w:p>
        </w:tc>
        <w:tc>
          <w:tcPr>
            <w:tcW w:w="4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Att A to LA-1802897</w:t>
            </w:r>
            <w:r>
              <w:rPr>
                <w:rFonts w:ascii="Times New Roman" w:cs="Times New Roman" w:eastAsia="Times New Roman" w:hAnsi="Times New Roman"/>
                <w:sz w:val="18"/>
                <w:szCs w:val="18"/>
                <w:b w:val="1"/>
                <w:bCs w:val="1"/>
                <w:color w:val="auto"/>
              </w:rPr>
              <w:t>R4</w:t>
            </w:r>
            <w:r>
              <w:rPr>
                <w:rFonts w:ascii="Times New Roman" w:cs="Times New Roman" w:eastAsia="Times New Roman" w:hAnsi="Times New Roman"/>
                <w:sz w:val="18"/>
                <w:szCs w:val="18"/>
                <w:color w:val="auto"/>
              </w:rPr>
              <w:t xml:space="preserve"> for 787-*** Aircraft,</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1O.txt</w:t>
            </w:r>
          </w:p>
        </w:tc>
        <w:tc>
          <w:tcPr>
            <w:tcW w:w="2960" w:type="dxa"/>
            <w:vAlign w:val="bottom"/>
            <w:vMerge w:val="continue"/>
          </w:tcPr>
          <w:p>
            <w:pPr>
              <w:spacing w:after="0"/>
              <w:rPr>
                <w:sz w:val="21"/>
                <w:szCs w:val="21"/>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w:t>
            </w:r>
          </w:p>
        </w:tc>
        <w:tc>
          <w:tcPr>
            <w:tcW w:w="0" w:type="dxa"/>
            <w:vAlign w:val="bottom"/>
          </w:tcPr>
          <w:p>
            <w:pPr>
              <w:spacing w:after="0"/>
              <w:rPr>
                <w:sz w:val="1"/>
                <w:szCs w:val="1"/>
                <w:color w:val="auto"/>
              </w:rPr>
            </w:pPr>
          </w:p>
        </w:tc>
      </w:tr>
    </w:tbl>
    <w:p>
      <w:pPr>
        <w:sectPr>
          <w:pgSz w:w="11900" w:h="16838" w:orient="portrait"/>
          <w:cols w:equalWidth="0" w:num="1">
            <w:col w:w="11200"/>
          </w:cols>
          <w:pgMar w:left="320" w:top="98" w:right="379" w:bottom="1440" w:gutter="0" w:footer="0" w:header="0"/>
          <w:type w:val="continuous"/>
        </w:sectPr>
      </w:pPr>
    </w:p>
    <w:bookmarkStart w:id="191" w:name="page192"/>
    <w:bookmarkEnd w:id="191"/>
    <w:p>
      <w:pPr>
        <w:jc w:val="center"/>
        <w:ind w:left="360" w:right="1520"/>
        <w:spacing w:after="0"/>
        <w:rPr>
          <w:sz w:val="20"/>
          <w:szCs w:val="20"/>
          <w:color w:val="auto"/>
        </w:rPr>
      </w:pPr>
      <w:r>
        <w:rPr>
          <w:rFonts w:ascii="Arial" w:cs="Arial" w:eastAsia="Arial" w:hAnsi="Arial"/>
          <w:sz w:val="22"/>
          <w:szCs w:val="22"/>
          <w:b w:val="1"/>
          <w:bCs w:val="1"/>
          <w:color w:val="auto"/>
        </w:rPr>
        <w:t>Attachment A-1 to Letter Agreement 04815-LA-1802897R4 Entitled "*** Aircraft" 787-*** Aircraft Delivery, Description, Price and *** (787-***)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The quantify of *** Aircraft other than *** Aircraft are as follows:</w:t>
      </w:r>
    </w:p>
    <w:p>
      <w:pPr>
        <w:spacing w:after="0" w:line="27" w:lineRule="exact"/>
        <w:rPr>
          <w:sz w:val="20"/>
          <w:szCs w:val="20"/>
          <w:color w:val="auto"/>
        </w:rPr>
      </w:pPr>
    </w:p>
    <w:tbl>
      <w:tblPr>
        <w:tblLayout w:type="fixed"/>
        <w:tblInd w:w="930" w:type="dxa"/>
        <w:tblCellMar>
          <w:top w:w="0" w:type="dxa"/>
          <w:left w:w="0" w:type="dxa"/>
          <w:bottom w:w="0" w:type="dxa"/>
          <w:right w:w="0" w:type="dxa"/>
        </w:tblCellMar>
      </w:tblPr>
      <w:tr>
        <w:trPr>
          <w:trHeight w:val="223"/>
        </w:trPr>
        <w:tc>
          <w:tcPr>
            <w:tcW w:w="31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right w:val="single" w:sz="8" w:color="auto"/>
            </w:tcBorders>
          </w:tcPr>
          <w:p>
            <w:pPr>
              <w:spacing w:after="0"/>
              <w:rPr>
                <w:sz w:val="19"/>
                <w:szCs w:val="19"/>
                <w:color w:val="auto"/>
              </w:rPr>
            </w:pPr>
          </w:p>
        </w:tc>
        <w:tc>
          <w:tcPr>
            <w:tcW w:w="170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40" w:type="dxa"/>
            <w:vAlign w:val="bottom"/>
            <w:tcBorders>
              <w:left w:val="single" w:sz="8" w:color="auto"/>
              <w:right w:val="single" w:sz="8" w:color="auto"/>
            </w:tcBorders>
          </w:tcPr>
          <w:p>
            <w:pPr>
              <w:jc w:val="right"/>
              <w:ind w:right="13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150"/>
        </w:trPr>
        <w:tc>
          <w:tcPr>
            <w:tcW w:w="384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7"/>
                <w:szCs w:val="17"/>
                <w:color w:val="auto"/>
              </w:rPr>
              <w:t>The quantity of *** Aircraft are as follows:</w:t>
            </w:r>
          </w:p>
        </w:tc>
        <w:tc>
          <w:tcPr>
            <w:tcW w:w="1700" w:type="dxa"/>
            <w:vAlign w:val="bottom"/>
          </w:tcPr>
          <w:p>
            <w:pPr>
              <w:spacing w:after="0"/>
              <w:rPr>
                <w:sz w:val="13"/>
                <w:szCs w:val="13"/>
                <w:color w:val="auto"/>
              </w:rPr>
            </w:pP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40" w:type="dxa"/>
            <w:vAlign w:val="bottom"/>
            <w:tcBorders>
              <w:left w:val="single" w:sz="8" w:color="auto"/>
              <w:right w:val="single" w:sz="8" w:color="auto"/>
            </w:tcBorders>
          </w:tcPr>
          <w:p>
            <w:pPr>
              <w:jc w:val="right"/>
              <w:ind w:right="13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u w:val="single" w:color="auto"/>
          <w:color w:val="auto"/>
        </w:rPr>
        <w:t>The quantity of *** Aircraft PLUS Special *** Aircraft is as</w:t>
      </w:r>
    </w:p>
    <w:p>
      <w:pPr>
        <w:ind w:left="940"/>
        <w:spacing w:after="0"/>
        <w:rPr>
          <w:sz w:val="20"/>
          <w:szCs w:val="20"/>
          <w:color w:val="auto"/>
        </w:rPr>
      </w:pPr>
      <w:r>
        <w:rPr>
          <w:rFonts w:ascii="Times New Roman" w:cs="Times New Roman" w:eastAsia="Times New Roman" w:hAnsi="Times New Roman"/>
          <w:sz w:val="22"/>
          <w:szCs w:val="22"/>
          <w:u w:val="single" w:color="auto"/>
          <w:color w:val="auto"/>
        </w:rPr>
        <w:t>follows:</w:t>
      </w:r>
    </w:p>
    <w:p>
      <w:pPr>
        <w:spacing w:after="0" w:line="5" w:lineRule="exact"/>
        <w:rPr>
          <w:sz w:val="20"/>
          <w:szCs w:val="20"/>
          <w:color w:val="auto"/>
        </w:rPr>
      </w:pPr>
    </w:p>
    <w:tbl>
      <w:tblPr>
        <w:tblLayout w:type="fixed"/>
        <w:tblInd w:w="930" w:type="dxa"/>
        <w:tblCellMar>
          <w:top w:w="0" w:type="dxa"/>
          <w:left w:w="0" w:type="dxa"/>
          <w:bottom w:w="0" w:type="dxa"/>
          <w:right w:w="0" w:type="dxa"/>
        </w:tblCellMar>
      </w:tblPr>
      <w:tr>
        <w:trPr>
          <w:trHeight w:val="265"/>
        </w:trPr>
        <w:tc>
          <w:tcPr>
            <w:tcW w:w="3140" w:type="dxa"/>
            <w:vAlign w:val="bottom"/>
            <w:tcBorders>
              <w:top w:val="single" w:sz="8" w:color="auto"/>
              <w:left w:val="single" w:sz="8" w:color="auto"/>
              <w:right w:val="single" w:sz="8" w:color="auto"/>
            </w:tcBorders>
          </w:tcPr>
          <w:p>
            <w:pPr>
              <w:jc w:val="right"/>
              <w:ind w:right="1312"/>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tcBorders>
              <w:top w:val="single" w:sz="8" w:color="auto"/>
              <w:right w:val="single" w:sz="8" w:color="auto"/>
            </w:tcBorders>
          </w:tcPr>
          <w:p>
            <w:pPr>
              <w:spacing w:after="0"/>
              <w:rPr>
                <w:sz w:val="23"/>
                <w:szCs w:val="23"/>
                <w:color w:val="auto"/>
              </w:rPr>
            </w:pPr>
          </w:p>
        </w:tc>
        <w:tc>
          <w:tcPr>
            <w:tcW w:w="1700" w:type="dxa"/>
            <w:vAlign w:val="bottom"/>
            <w:tcBorders>
              <w:top w:val="single" w:sz="8" w:color="auto"/>
              <w:bottom w:val="single" w:sz="8" w:color="auto"/>
              <w:right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r>
      <w:tr>
        <w:trPr>
          <w:trHeight w:val="20"/>
        </w:trPr>
        <w:tc>
          <w:tcPr>
            <w:tcW w:w="3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0</wp:posOffset>
            </wp:positionV>
            <wp:extent cx="10890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18">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UAL-PA-04815-LA-1802897R4 APR 125312-</w:t>
            </w:r>
          </w:p>
        </w:tc>
        <w:tc>
          <w:tcPr>
            <w:tcW w:w="296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SA-15</w:t>
            </w:r>
          </w:p>
        </w:tc>
        <w:tc>
          <w:tcPr>
            <w:tcW w:w="0" w:type="dxa"/>
            <w:vAlign w:val="bottom"/>
          </w:tcPr>
          <w:p>
            <w:pPr>
              <w:spacing w:after="0"/>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29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Boeing Proprietary</w:t>
            </w:r>
          </w:p>
        </w:tc>
        <w:tc>
          <w:tcPr>
            <w:tcW w:w="4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Att A to LA-1802897</w:t>
            </w:r>
            <w:r>
              <w:rPr>
                <w:rFonts w:ascii="Times New Roman" w:cs="Times New Roman" w:eastAsia="Times New Roman" w:hAnsi="Times New Roman"/>
                <w:sz w:val="18"/>
                <w:szCs w:val="18"/>
                <w:b w:val="1"/>
                <w:bCs w:val="1"/>
                <w:color w:val="auto"/>
              </w:rPr>
              <w:t>R4</w:t>
            </w:r>
            <w:r>
              <w:rPr>
                <w:rFonts w:ascii="Times New Roman" w:cs="Times New Roman" w:eastAsia="Times New Roman" w:hAnsi="Times New Roman"/>
                <w:sz w:val="18"/>
                <w:szCs w:val="18"/>
                <w:color w:val="auto"/>
              </w:rPr>
              <w:t xml:space="preserve"> for 787-*** Aircraft,</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1O.txt</w:t>
            </w:r>
          </w:p>
        </w:tc>
        <w:tc>
          <w:tcPr>
            <w:tcW w:w="2960" w:type="dxa"/>
            <w:vAlign w:val="bottom"/>
            <w:vMerge w:val="continue"/>
          </w:tcPr>
          <w:p>
            <w:pPr>
              <w:spacing w:after="0"/>
              <w:rPr>
                <w:sz w:val="21"/>
                <w:szCs w:val="21"/>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2</w:t>
            </w:r>
          </w:p>
        </w:tc>
        <w:tc>
          <w:tcPr>
            <w:tcW w:w="0" w:type="dxa"/>
            <w:vAlign w:val="bottom"/>
          </w:tcPr>
          <w:p>
            <w:pPr>
              <w:spacing w:after="0"/>
              <w:rPr>
                <w:sz w:val="1"/>
                <w:szCs w:val="1"/>
                <w:color w:val="auto"/>
              </w:rPr>
            </w:pPr>
          </w:p>
        </w:tc>
      </w:tr>
    </w:tbl>
    <w:p>
      <w:pPr>
        <w:sectPr>
          <w:pgSz w:w="11900" w:h="16838" w:orient="portrait"/>
          <w:cols w:equalWidth="0" w:num="1">
            <w:col w:w="11180"/>
          </w:cols>
          <w:pgMar w:left="340" w:top="98" w:right="379" w:bottom="1440" w:gutter="0" w:footer="0" w:header="0"/>
        </w:sectPr>
      </w:pPr>
    </w:p>
    <w:bookmarkStart w:id="192" w:name="page193"/>
    <w:bookmarkEnd w:id="192"/>
    <w:p>
      <w:pPr>
        <w:ind w:left="86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68450" cy="3600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t>The Boeing Company</w:t>
      </w:r>
    </w:p>
    <w:p>
      <w:pPr>
        <w:ind w:left="8680"/>
        <w:spacing w:after="0" w:line="219" w:lineRule="auto"/>
        <w:rPr>
          <w:sz w:val="20"/>
          <w:szCs w:val="20"/>
          <w:color w:val="auto"/>
        </w:rPr>
      </w:pPr>
      <w:r>
        <w:rPr>
          <w:rFonts w:ascii="Times New Roman" w:cs="Times New Roman" w:eastAsia="Times New Roman" w:hAnsi="Times New Roman"/>
          <w:sz w:val="18"/>
          <w:szCs w:val="18"/>
          <w:color w:val="auto"/>
        </w:rPr>
        <w:t>P.O. Box 3707</w:t>
      </w:r>
    </w:p>
    <w:p>
      <w:pPr>
        <w:ind w:left="8680"/>
        <w:spacing w:after="0"/>
        <w:rPr>
          <w:sz w:val="20"/>
          <w:szCs w:val="20"/>
          <w:color w:val="auto"/>
        </w:rPr>
      </w:pPr>
      <w:r>
        <w:rPr>
          <w:rFonts w:ascii="Times New Roman" w:cs="Times New Roman" w:eastAsia="Times New Roman" w:hAnsi="Times New Roman"/>
          <w:sz w:val="18"/>
          <w:szCs w:val="18"/>
          <w:color w:val="auto"/>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UAL-PA-04815-LA-22006311R1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3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787 Open Matters</w:t>
      </w:r>
    </w:p>
    <w:p>
      <w:pPr>
        <w:spacing w:after="0" w:line="216" w:lineRule="exact"/>
        <w:rPr>
          <w:sz w:val="20"/>
          <w:szCs w:val="20"/>
          <w:color w:val="auto"/>
        </w:rPr>
      </w:pPr>
    </w:p>
    <w:p>
      <w:pPr>
        <w:jc w:val="both"/>
        <w:ind w:left="1300" w:hanging="1295"/>
        <w:spacing w:after="0" w:line="275" w:lineRule="auto"/>
        <w:tabs>
          <w:tab w:leader="none" w:pos="1280" w:val="left"/>
        </w:tabs>
        <w:rPr>
          <w:sz w:val="20"/>
          <w:szCs w:val="20"/>
          <w:color w:val="auto"/>
        </w:rPr>
      </w:pPr>
      <w:r>
        <w:rPr>
          <w:rFonts w:ascii="Times New Roman" w:cs="Times New Roman" w:eastAsia="Times New Roman" w:hAnsi="Times New Roman"/>
          <w:sz w:val="22"/>
          <w:szCs w:val="22"/>
          <w:color w:val="auto"/>
        </w:rPr>
        <w:t>Reference:</w:t>
      </w:r>
      <w:r>
        <w:rPr>
          <w:sz w:val="20"/>
          <w:szCs w:val="20"/>
          <w:color w:val="auto"/>
        </w:rPr>
        <w:tab/>
      </w:r>
      <w:r>
        <w:rPr>
          <w:rFonts w:ascii="Times New Roman" w:cs="Times New Roman" w:eastAsia="Times New Roman" w:hAnsi="Times New Roman"/>
          <w:sz w:val="22"/>
          <w:szCs w:val="22"/>
          <w:color w:val="auto"/>
        </w:rPr>
        <w:t>Purchase Agreement No. 04815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787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amends and supplements the Purchase Agreement. All terms used but not defined in this Letter Agreement shall have the same meaning as in the Purchase Agreement. This Letter Agreement supersedes and replaces in its entirety Letter Agreement UAL-PA-04815-LA-22006311 dated December 12, 2022.</w:t>
      </w:r>
    </w:p>
    <w:p>
      <w:pPr>
        <w:spacing w:after="0" w:line="116" w:lineRule="exact"/>
        <w:rPr>
          <w:sz w:val="20"/>
          <w:szCs w:val="20"/>
          <w:color w:val="auto"/>
        </w:rPr>
      </w:pPr>
    </w:p>
    <w:p>
      <w:pPr>
        <w:ind w:right="20" w:firstLine="280"/>
        <w:spacing w:after="0" w:line="271" w:lineRule="auto"/>
        <w:rPr>
          <w:sz w:val="20"/>
          <w:szCs w:val="20"/>
          <w:color w:val="auto"/>
        </w:rPr>
      </w:pPr>
      <w:r>
        <w:rPr>
          <w:rFonts w:ascii="Times New Roman" w:cs="Times New Roman" w:eastAsia="Times New Roman" w:hAnsi="Times New Roman"/>
          <w:sz w:val="22"/>
          <w:szCs w:val="22"/>
          <w:color w:val="auto"/>
        </w:rPr>
        <w:t>Boeing and Customer agree to work together as the configuration of Customer’s Boeing Model 787-*** and Boeing Model 787-*** aircraft develop as specified in this Letter Agreement.</w:t>
      </w:r>
    </w:p>
    <w:p>
      <w:pPr>
        <w:spacing w:after="0" w:line="171" w:lineRule="exact"/>
        <w:rPr>
          <w:sz w:val="20"/>
          <w:szCs w:val="20"/>
          <w:color w:val="auto"/>
        </w:rPr>
      </w:pPr>
    </w:p>
    <w:p>
      <w:pPr>
        <w:ind w:left="460" w:hanging="371"/>
        <w:spacing w:after="0"/>
        <w:tabs>
          <w:tab w:leader="none" w:pos="4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Aircraft Configuration</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initial configuration of Customer's Model 787-*** Aircraft has been defined by *** as described in Table 1 and Exhibit A of the Purchase Agreement and the updated initial configuration of Customer's Model 787-*** Aircraft has been defined by *** as described in Table 1 and Exhibit A of the Purchase Agreement (collectively these two configurations are referred to herein as the </w:t>
      </w:r>
      <w:r>
        <w:rPr>
          <w:rFonts w:ascii="Times New Roman" w:cs="Times New Roman" w:eastAsia="Times New Roman" w:hAnsi="Times New Roman"/>
          <w:sz w:val="22"/>
          <w:szCs w:val="22"/>
          <w:b w:val="1"/>
          <w:bCs w:val="1"/>
          <w:color w:val="auto"/>
        </w:rPr>
        <w:t>Initial Configuration</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 Final configuration of the *** 787-*** Aircraft and the updated configuration of the 787-*** Aircraft (each and collectively these two configurations are referred to as </w:t>
      </w:r>
      <w:r>
        <w:rPr>
          <w:rFonts w:ascii="Times New Roman" w:cs="Times New Roman" w:eastAsia="Times New Roman" w:hAnsi="Times New Roman"/>
          <w:sz w:val="22"/>
          <w:szCs w:val="22"/>
          <w:b w:val="1"/>
          <w:bCs w:val="1"/>
          <w:color w:val="auto"/>
        </w:rPr>
        <w:t>Final Configuration</w:t>
      </w:r>
      <w:r>
        <w:rPr>
          <w:rFonts w:ascii="Times New Roman" w:cs="Times New Roman" w:eastAsia="Times New Roman" w:hAnsi="Times New Roman"/>
          <w:sz w:val="22"/>
          <w:szCs w:val="22"/>
          <w:color w:val="auto"/>
        </w:rPr>
        <w:t>) will be completed using the *** in accordance with the following schedule:</w:t>
      </w:r>
    </w:p>
    <w:p>
      <w:pPr>
        <w:spacing w:after="0" w:line="6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1.1.1 For the *** 787-*** configuration: In the ***, Boeing provided Customer with *** from which Customer shall provide *** that will comprise the Final Configuration of the *** 787-*** aircraft; and</w:t>
      </w:r>
    </w:p>
    <w:p>
      <w:pPr>
        <w:spacing w:after="0" w:line="50"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1.1.2 For the new configuration of the Boeing model 787-***: In the ***, Boeing will provide Customer with *** from which Customer shall provide *** that will comprise the Final Configuration of the new 787-*** configuration.</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1.2 Within *** following completion of the applicable Final Configuration, Boeing and Customer will execute a written amendment to the Purchase Agreement which will reflect the following:</w:t>
      </w:r>
    </w:p>
    <w:p>
      <w:pPr>
        <w:spacing w:after="0" w:line="200" w:lineRule="exact"/>
        <w:rPr>
          <w:sz w:val="20"/>
          <w:szCs w:val="20"/>
          <w:color w:val="auto"/>
        </w:rPr>
      </w:pPr>
    </w:p>
    <w:p>
      <w:pPr>
        <w:spacing w:after="0" w:line="349"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22"/>
          <w:szCs w:val="22"/>
          <w:color w:val="auto"/>
        </w:rPr>
        <w:t>UAL-PA-04815-LA-22006311R1</w:t>
        <w:tab/>
        <w:t>SA-15</w:t>
      </w:r>
    </w:p>
    <w:p>
      <w:pPr>
        <w:spacing w:after="0" w:line="28"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787 Open Matters</w:t>
      </w:r>
      <w:r>
        <w:rPr>
          <w:sz w:val="20"/>
          <w:szCs w:val="20"/>
          <w:color w:val="auto"/>
        </w:rPr>
        <w:tab/>
      </w:r>
      <w:r>
        <w:rPr>
          <w:rFonts w:ascii="Times New Roman" w:cs="Times New Roman" w:eastAsia="Times New Roman" w:hAnsi="Times New Roman"/>
          <w:sz w:val="21"/>
          <w:szCs w:val="21"/>
          <w:color w:val="auto"/>
        </w:rPr>
        <w:t>Page 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UNITED AIRLINES, INC. PROPRIETARY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4934-8639-4241</w:t>
      </w:r>
    </w:p>
    <w:p>
      <w:pPr>
        <w:sectPr>
          <w:pgSz w:w="11900" w:h="16838" w:orient="portrait"/>
          <w:cols w:equalWidth="0" w:num="1">
            <w:col w:w="11240"/>
          </w:cols>
          <w:pgMar w:left="320" w:top="218" w:right="339"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8450" cy="3600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14" w:lineRule="exact"/>
        <w:rPr>
          <w:sz w:val="20"/>
          <w:szCs w:val="20"/>
          <w:color w:val="auto"/>
        </w:rPr>
      </w:pPr>
    </w:p>
    <w:p>
      <w:pPr>
        <w:jc w:val="both"/>
        <w:ind w:left="660" w:firstLine="1296"/>
        <w:spacing w:after="0" w:line="284" w:lineRule="auto"/>
        <w:rPr>
          <w:sz w:val="20"/>
          <w:szCs w:val="20"/>
          <w:color w:val="auto"/>
        </w:rPr>
      </w:pPr>
      <w:r>
        <w:rPr>
          <w:rFonts w:ascii="Times New Roman" w:cs="Times New Roman" w:eastAsia="Times New Roman" w:hAnsi="Times New Roman"/>
          <w:sz w:val="22"/>
          <w:szCs w:val="22"/>
          <w:color w:val="auto"/>
        </w:rPr>
        <w:t>1.2.1 Changes applicable to the 787-*** Aircraft and the 787-*** Aircraft which are developed by Boeing between the *** and ***;</w:t>
      </w:r>
    </w:p>
    <w:p>
      <w:pPr>
        <w:spacing w:after="0" w:line="36" w:lineRule="exact"/>
        <w:rPr>
          <w:sz w:val="20"/>
          <w:szCs w:val="20"/>
          <w:color w:val="auto"/>
        </w:rPr>
      </w:pPr>
    </w:p>
    <w:p>
      <w:pPr>
        <w:jc w:val="both"/>
        <w:ind w:left="660" w:firstLine="1296"/>
        <w:spacing w:after="0" w:line="271" w:lineRule="auto"/>
        <w:rPr>
          <w:sz w:val="20"/>
          <w:szCs w:val="20"/>
          <w:color w:val="auto"/>
        </w:rPr>
      </w:pPr>
      <w:r>
        <w:rPr>
          <w:rFonts w:ascii="Times New Roman" w:cs="Times New Roman" w:eastAsia="Times New Roman" w:hAnsi="Times New Roman"/>
          <w:sz w:val="22"/>
          <w:szCs w:val="22"/>
          <w:color w:val="auto"/>
        </w:rPr>
        <w:t>1.2.2 Incorporation into the applicable Exhibit A of the Purchase Agreement, by written amendment, those *** features which have been agreed to by Customer and Boeing (</w:t>
      </w:r>
      <w:r>
        <w:rPr>
          <w:rFonts w:ascii="Times New Roman" w:cs="Times New Roman" w:eastAsia="Times New Roman" w:hAnsi="Times New Roman"/>
          <w:sz w:val="22"/>
          <w:szCs w:val="22"/>
          <w:b w:val="1"/>
          <w:bCs w:val="1"/>
          <w:color w:val="auto"/>
        </w:rPr>
        <w:t>Customer Configuration Changes</w:t>
      </w:r>
      <w:r>
        <w:rPr>
          <w:rFonts w:ascii="Times New Roman" w:cs="Times New Roman" w:eastAsia="Times New Roman" w:hAnsi="Times New Roman"/>
          <w:sz w:val="22"/>
          <w:szCs w:val="22"/>
          <w:color w:val="auto"/>
        </w:rPr>
        <w:t>);</w:t>
      </w:r>
    </w:p>
    <w:p>
      <w:pPr>
        <w:spacing w:after="0" w:line="50" w:lineRule="exact"/>
        <w:rPr>
          <w:sz w:val="20"/>
          <w:szCs w:val="20"/>
          <w:color w:val="auto"/>
        </w:rPr>
      </w:pPr>
    </w:p>
    <w:p>
      <w:pPr>
        <w:ind w:left="1960"/>
        <w:spacing w:after="0"/>
        <w:tabs>
          <w:tab w:leader="none" w:pos="2680" w:val="left"/>
        </w:tabs>
        <w:rPr>
          <w:sz w:val="20"/>
          <w:szCs w:val="20"/>
          <w:color w:val="auto"/>
        </w:rPr>
      </w:pPr>
      <w:r>
        <w:rPr>
          <w:rFonts w:ascii="Times New Roman" w:cs="Times New Roman" w:eastAsia="Times New Roman" w:hAnsi="Times New Roman"/>
          <w:sz w:val="22"/>
          <w:szCs w:val="22"/>
          <w:color w:val="auto"/>
        </w:rPr>
        <w:t>1.2.3</w:t>
        <w:tab/>
        <w:t>Revisions to the applicable Supplemental Exhibit BFE1 to reflect the *** and on-dock dates of</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BFE; and</w:t>
      </w:r>
    </w:p>
    <w:p>
      <w:pPr>
        <w:spacing w:after="0" w:line="88" w:lineRule="exact"/>
        <w:rPr>
          <w:sz w:val="20"/>
          <w:szCs w:val="20"/>
          <w:color w:val="auto"/>
        </w:rPr>
      </w:pPr>
    </w:p>
    <w:p>
      <w:pPr>
        <w:jc w:val="both"/>
        <w:ind w:left="660" w:firstLine="1296"/>
        <w:spacing w:after="0" w:line="263" w:lineRule="auto"/>
        <w:rPr>
          <w:sz w:val="20"/>
          <w:szCs w:val="20"/>
          <w:color w:val="auto"/>
        </w:rPr>
      </w:pPr>
      <w:r>
        <w:rPr>
          <w:rFonts w:ascii="Times New Roman" w:cs="Times New Roman" w:eastAsia="Times New Roman" w:hAnsi="Times New Roman"/>
          <w:sz w:val="22"/>
          <w:szCs w:val="22"/>
          <w:color w:val="auto"/>
        </w:rPr>
        <w:t>1.2.4 Changes to the ***, and *** to adjust for the difference, if any, between the *** in the applicable Table 1 of the Purchase Agreement for *** features reflected in the *** and the *** of the *** features reflected in the Customer Configuration Changes.</w:t>
      </w:r>
    </w:p>
    <w:p>
      <w:pPr>
        <w:spacing w:after="0" w:line="167" w:lineRule="exact"/>
        <w:rPr>
          <w:sz w:val="20"/>
          <w:szCs w:val="20"/>
          <w:color w:val="auto"/>
        </w:rPr>
      </w:pPr>
    </w:p>
    <w:p>
      <w:pPr>
        <w:ind w:left="460" w:hanging="371"/>
        <w:spacing w:after="0"/>
        <w:tabs>
          <w:tab w:leader="none" w:pos="4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Matters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2.1 Boeing commits to work with Customer to review *** that Customer may request be *** into the 787-*** Aircraft and the 787-*** Aircraft configuration prior to delivery to Customer. After each such review, Boeing and Customer shall agree as to the *** which Boeing can make available for the Aircraft using *** and the terms for ***.</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2.2 Boeing and Customer shall meet regularly to determine in good faith mutually acceptable terms and conditions with respect to *** and *** matters, commencing ***.</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2.3 Beginning the ***, Customer and Boeing shall meet no later than the end of the first *** in each *** to review the future *** for each *** starting *** (</w:t>
      </w:r>
      <w:r>
        <w:rPr>
          <w:rFonts w:ascii="Times New Roman" w:cs="Times New Roman" w:eastAsia="Times New Roman" w:hAnsi="Times New Roman"/>
          <w:sz w:val="22"/>
          <w:szCs w:val="22"/>
          <w:b w:val="1"/>
          <w:bCs w:val="1"/>
          <w:color w:val="auto"/>
        </w:rPr>
        <w:t>Target Period</w:t>
      </w:r>
      <w:r>
        <w:rPr>
          <w:rFonts w:ascii="Times New Roman" w:cs="Times New Roman" w:eastAsia="Times New Roman" w:hAnsi="Times New Roman"/>
          <w:sz w:val="22"/>
          <w:szCs w:val="22"/>
          <w:color w:val="auto"/>
        </w:rPr>
        <w:t>). During each such discussion, Boeing will provide its then ***. Customer and Boeing will work together to align *** in each *** of the Target Period. Customer shall have *** of more than *** Aircraft in any calendar year during the Target Period provided that the *** may be *** pursuant to *** in the following *** of the Target Period subject to a *** Aircraft in ***.</w:t>
      </w:r>
    </w:p>
    <w:p>
      <w:pPr>
        <w:spacing w:after="0" w:line="179" w:lineRule="exact"/>
        <w:rPr>
          <w:sz w:val="20"/>
          <w:szCs w:val="20"/>
          <w:color w:val="auto"/>
        </w:rPr>
      </w:pPr>
    </w:p>
    <w:p>
      <w:pPr>
        <w:ind w:left="460" w:hanging="371"/>
        <w:spacing w:after="0"/>
        <w:tabs>
          <w:tab w:leader="none" w:pos="4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the rights and obligations described in this Letter Agreement are provided to Customer in consideration of Customer’s becoming the operator of the Aircraft and cannot be assigned in whole or, in part.</w:t>
      </w:r>
    </w:p>
    <w:p>
      <w:pPr>
        <w:spacing w:after="0" w:line="167" w:lineRule="exact"/>
        <w:rPr>
          <w:sz w:val="20"/>
          <w:szCs w:val="20"/>
          <w:color w:val="auto"/>
        </w:rPr>
      </w:pPr>
    </w:p>
    <w:p>
      <w:pPr>
        <w:ind w:left="460" w:hanging="371"/>
        <w:spacing w:after="0"/>
        <w:tabs>
          <w:tab w:leader="none" w:pos="4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22"/>
          <w:szCs w:val="22"/>
          <w:color w:val="auto"/>
        </w:rPr>
        <w:t>UAL-PA-04815-LA-22006311R1</w:t>
        <w:tab/>
        <w:t>SA-15</w:t>
      </w:r>
    </w:p>
    <w:p>
      <w:pPr>
        <w:spacing w:after="0" w:line="2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787 Open Matters</w:t>
      </w:r>
      <w:r>
        <w:rPr>
          <w:sz w:val="20"/>
          <w:szCs w:val="20"/>
          <w:color w:val="auto"/>
        </w:rPr>
        <w:tab/>
      </w:r>
      <w:r>
        <w:rPr>
          <w:rFonts w:ascii="Times New Roman" w:cs="Times New Roman" w:eastAsia="Times New Roman" w:hAnsi="Times New Roman"/>
          <w:sz w:val="21"/>
          <w:szCs w:val="21"/>
          <w:color w:val="auto"/>
        </w:rPr>
        <w:t>Page 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UNITED AIRLINES, INC. PROPRIETARY</w:t>
      </w:r>
    </w:p>
    <w:p>
      <w:pPr>
        <w:spacing w:after="0"/>
        <w:rPr>
          <w:sz w:val="20"/>
          <w:szCs w:val="20"/>
          <w:color w:val="auto"/>
        </w:rPr>
      </w:pPr>
      <w:r>
        <w:rPr>
          <w:rFonts w:ascii="Times New Roman" w:cs="Times New Roman" w:eastAsia="Times New Roman" w:hAnsi="Times New Roman"/>
          <w:sz w:val="13"/>
          <w:szCs w:val="13"/>
          <w:color w:val="auto"/>
        </w:rPr>
        <w:t>4934-8639-4241</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8450" cy="3600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87" w:lineRule="exact"/>
        <w:rPr>
          <w:sz w:val="20"/>
          <w:szCs w:val="20"/>
          <w:color w:val="auto"/>
        </w:rPr>
      </w:pPr>
    </w:p>
    <w:p>
      <w:pPr>
        <w:ind w:left="80"/>
        <w:spacing w:after="0"/>
        <w:tabs>
          <w:tab w:leader="none" w:pos="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58293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2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7" w:lineRule="exact"/>
        <w:rPr>
          <w:sz w:val="20"/>
          <w:szCs w:val="20"/>
          <w:color w:val="auto"/>
        </w:rPr>
      </w:pPr>
    </w:p>
    <w:p>
      <w:pPr>
        <w:ind w:left="80"/>
        <w:spacing w:after="0"/>
        <w:tabs>
          <w:tab w:leader="none" w:pos="8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58293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2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160" w:type="dxa"/>
            <w:vAlign w:val="bottom"/>
          </w:tcPr>
          <w:p>
            <w:pPr>
              <w:spacing w:after="0"/>
              <w:rPr>
                <w:sz w:val="24"/>
                <w:szCs w:val="24"/>
                <w:color w:val="auto"/>
              </w:rPr>
            </w:pPr>
          </w:p>
        </w:tc>
        <w:tc>
          <w:tcPr>
            <w:tcW w:w="8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December 30, 2025</w:t>
            </w:r>
          </w:p>
        </w:tc>
      </w:tr>
      <w:tr>
        <w:trPr>
          <w:trHeight w:val="519"/>
        </w:trPr>
        <w:tc>
          <w:tcPr>
            <w:tcW w:w="98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40"/>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9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 John Gebo</w:t>
            </w:r>
          </w:p>
        </w:tc>
      </w:tr>
      <w:tr>
        <w:trPr>
          <w:trHeight w:val="556"/>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9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SVP Treasury, Fleet &amp; Fuel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22"/>
          <w:szCs w:val="22"/>
          <w:color w:val="auto"/>
        </w:rPr>
        <w:t>UAL-PA-04815-LA-22006311R1</w:t>
        <w:tab/>
        <w:t>SA-15</w:t>
      </w:r>
    </w:p>
    <w:p>
      <w:pPr>
        <w:spacing w:after="0" w:line="28"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787 Open Matters</w:t>
      </w:r>
      <w:r>
        <w:rPr>
          <w:sz w:val="20"/>
          <w:szCs w:val="20"/>
          <w:color w:val="auto"/>
        </w:rPr>
        <w:tab/>
      </w:r>
      <w:r>
        <w:rPr>
          <w:rFonts w:ascii="Times New Roman" w:cs="Times New Roman" w:eastAsia="Times New Roman" w:hAnsi="Times New Roman"/>
          <w:sz w:val="21"/>
          <w:szCs w:val="21"/>
          <w:color w:val="auto"/>
        </w:rPr>
        <w:t>Page 3</w:t>
      </w:r>
    </w:p>
    <w:p>
      <w:pPr>
        <w:spacing w:after="0" w:line="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BOEING/ UNITED AIRLINES, INC. PROPRIETARY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4934-8639-4241</w:t>
      </w:r>
    </w:p>
    <w:p>
      <w:pPr>
        <w:sectPr>
          <w:pgSz w:w="11900" w:h="16838" w:orient="portrait"/>
          <w:cols w:equalWidth="0" w:num="1">
            <w:col w:w="10139"/>
          </w:cols>
          <w:pgMar w:left="320" w:top="1440" w:right="1440" w:bottom="1440" w:gutter="0" w:footer="0" w:header="0"/>
        </w:sectPr>
      </w:pPr>
    </w:p>
    <w:bookmarkStart w:id="195" w:name="page196"/>
    <w:bookmarkEnd w:id="195"/>
    <w:p>
      <w:pPr>
        <w:ind w:left="872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216535</wp:posOffset>
            </wp:positionH>
            <wp:positionV relativeFrom="page">
              <wp:posOffset>260350</wp:posOffset>
            </wp:positionV>
            <wp:extent cx="1568450" cy="3600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t>The Boeing Company</w:t>
      </w:r>
    </w:p>
    <w:p>
      <w:pPr>
        <w:spacing w:after="0" w:line="25" w:lineRule="exact"/>
        <w:rPr>
          <w:sz w:val="20"/>
          <w:szCs w:val="20"/>
          <w:color w:val="auto"/>
        </w:rPr>
      </w:pPr>
    </w:p>
    <w:p>
      <w:pPr>
        <w:ind w:left="8720"/>
        <w:spacing w:after="0"/>
        <w:rPr>
          <w:sz w:val="20"/>
          <w:szCs w:val="20"/>
          <w:color w:val="auto"/>
        </w:rPr>
      </w:pPr>
      <w:r>
        <w:rPr>
          <w:rFonts w:ascii="Arial" w:cs="Arial" w:eastAsia="Arial" w:hAnsi="Arial"/>
          <w:sz w:val="13"/>
          <w:szCs w:val="13"/>
          <w:color w:val="808080"/>
        </w:rPr>
        <w:t>P.O. Box 3707</w:t>
      </w:r>
    </w:p>
    <w:p>
      <w:pPr>
        <w:spacing w:after="0" w:line="13" w:lineRule="exact"/>
        <w:rPr>
          <w:sz w:val="20"/>
          <w:szCs w:val="20"/>
          <w:color w:val="auto"/>
        </w:rPr>
      </w:pPr>
    </w:p>
    <w:p>
      <w:pPr>
        <w:ind w:left="8720"/>
        <w:spacing w:after="0"/>
        <w:rPr>
          <w:sz w:val="20"/>
          <w:szCs w:val="20"/>
          <w:color w:val="auto"/>
        </w:rPr>
      </w:pPr>
      <w:r>
        <w:rPr>
          <w:rFonts w:ascii="Arial" w:cs="Arial" w:eastAsia="Arial" w:hAnsi="Arial"/>
          <w:sz w:val="13"/>
          <w:szCs w:val="13"/>
          <w:color w:val="808080"/>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635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2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UAL-PA-04815-LA-23005341R1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3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Special Matters – SA-13 *** 787 Aircraft</w:t>
      </w:r>
    </w:p>
    <w:p>
      <w:pPr>
        <w:spacing w:after="0" w:line="216" w:lineRule="exact"/>
        <w:rPr>
          <w:sz w:val="20"/>
          <w:szCs w:val="20"/>
          <w:color w:val="auto"/>
        </w:rPr>
      </w:pPr>
    </w:p>
    <w:p>
      <w:pPr>
        <w:jc w:val="both"/>
        <w:ind w:left="1300" w:hanging="1295"/>
        <w:spacing w:after="0" w:line="275" w:lineRule="auto"/>
        <w:tabs>
          <w:tab w:leader="none" w:pos="1280" w:val="left"/>
        </w:tabs>
        <w:rPr>
          <w:sz w:val="20"/>
          <w:szCs w:val="20"/>
          <w:color w:val="auto"/>
        </w:rPr>
      </w:pPr>
      <w:r>
        <w:rPr>
          <w:rFonts w:ascii="Times New Roman" w:cs="Times New Roman" w:eastAsia="Times New Roman" w:hAnsi="Times New Roman"/>
          <w:sz w:val="22"/>
          <w:szCs w:val="22"/>
          <w:color w:val="auto"/>
        </w:rPr>
        <w:t>Reference:</w:t>
      </w:r>
      <w:r>
        <w:rPr>
          <w:sz w:val="20"/>
          <w:szCs w:val="20"/>
          <w:color w:val="auto"/>
        </w:rPr>
        <w:tab/>
      </w:r>
      <w:r>
        <w:rPr>
          <w:rFonts w:ascii="Times New Roman" w:cs="Times New Roman" w:eastAsia="Times New Roman" w:hAnsi="Times New Roman"/>
          <w:sz w:val="22"/>
          <w:szCs w:val="22"/>
          <w:color w:val="auto"/>
        </w:rPr>
        <w:t>Purchase Agreement No. 04815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787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2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amends and supplements the Purchase Agreement. All terms used but not defined in this Letter Agreement will have the same meaning as in the Purchase Agreement. This Letter Agreement is only applicable to the SA-13 *** 787 Aircraft as defined in Section 2 herein. This Letter Agreement supersedes and replaces in its entirety Letter Agreement UAL-PA-04815-LA-23005341 dated September 28, 2023.</w:t>
      </w:r>
    </w:p>
    <w:p>
      <w:pPr>
        <w:spacing w:after="0" w:line="172"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787-***</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consideration of Customer's purchase of 787-*** Aircraft, Boeing *** at the time of delivery of each 787-***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Aircraft and 787-*** Aircraft, *** to Customer ***. The *** is subject to the *** as *** at the time of delivery. *** may ***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at the time of delivery for such Aircraft, or for the *** of Boeing *** and ***, but *** on Aircraft.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787-***</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consideration of Customer's purchase of 787-*** Aircraft, Boeing *** at the time of delivery of each 787-*** Aircraft and 787-*** Aircraft, *** to Customer ***. The *** is subject to the *** as *** at the time of delivery. *** may *** to *** at the time of delivery for such Aircraft, or for the *** of Boeing *** and ***, but *** on Aircraft.</w:t>
      </w:r>
    </w:p>
    <w:p>
      <w:pPr>
        <w:sectPr>
          <w:pgSz w:w="11900" w:h="16838" w:orient="portrait"/>
          <w:cols w:equalWidth="0" w:num="1">
            <w:col w:w="11240"/>
          </w:cols>
          <w:pgMar w:left="320" w:top="545"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UAL-PA-04815-LA-23005341R1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Special Matters - SA-13 *** 787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1</w:t>
      </w:r>
    </w:p>
    <w:p>
      <w:pPr>
        <w:spacing w:after="0" w:line="211" w:lineRule="exact"/>
        <w:rPr>
          <w:sz w:val="20"/>
          <w:szCs w:val="20"/>
          <w:color w:val="auto"/>
        </w:rPr>
      </w:pPr>
    </w:p>
    <w:p>
      <w:pPr>
        <w:sectPr>
          <w:pgSz w:w="11900" w:h="16838" w:orient="portrait"/>
          <w:cols w:equalWidth="0" w:num="2">
            <w:col w:w="8520" w:space="720"/>
            <w:col w:w="2000"/>
          </w:cols>
          <w:pgMar w:left="320" w:top="545" w:right="3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BOEING/UNITED AIRLINES, INC. PROPRIETARY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4932-4967-9491</w:t>
      </w:r>
    </w:p>
    <w:p>
      <w:pPr>
        <w:sectPr>
          <w:pgSz w:w="11900" w:h="16838" w:orient="portrait"/>
          <w:cols w:equalWidth="0" w:num="1">
            <w:col w:w="11240"/>
          </w:cols>
          <w:pgMar w:left="320" w:top="545" w:right="339" w:bottom="1440" w:gutter="0" w:footer="0" w:header="0"/>
          <w:type w:val="continuous"/>
        </w:sectPr>
      </w:pPr>
    </w:p>
    <w:bookmarkStart w:id="196" w:name="page197"/>
    <w:bookmarkEnd w:id="196"/>
    <w:p>
      <w:pPr>
        <w:ind w:left="2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t>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787-***</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consideration of Customer's purchase of 787-*** Aircraft, Boeing *** at the time of delivery of each 787-*** Aircraft and 787-*** Aircraft, *** to Customer ***. The *** is subject to the *** as *** at the time of delivery. *** may *** to *** at the time of delivery for such Aircraft, or for the *** of Boeing *** and ***, but *** on Aircraft.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Boeing *** to Customer ***.</w:t>
      </w:r>
    </w:p>
    <w:p>
      <w:pPr>
        <w:spacing w:after="0" w:line="220"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entitled “Assignment Matters”, the rights and obligations described in this Letter Agreement are provided to Customer in consideration of Customer’s becoming the operator of the Aircraft and cannot be assigned in whole or, in part.</w:t>
      </w:r>
    </w:p>
    <w:p>
      <w:pPr>
        <w:spacing w:after="0" w:line="186"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 entitled “Privileged and Confidential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87" w:lineRule="exact"/>
        <w:rPr>
          <w:sz w:val="20"/>
          <w:szCs w:val="20"/>
          <w:color w:val="auto"/>
        </w:rPr>
      </w:pPr>
    </w:p>
    <w:p>
      <w:pPr>
        <w:ind w:left="160"/>
        <w:spacing w:after="0"/>
        <w:tabs>
          <w:tab w:leader="none" w:pos="1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19685</wp:posOffset>
            </wp:positionV>
            <wp:extent cx="3497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2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67" w:lineRule="exact"/>
        <w:rPr>
          <w:sz w:val="20"/>
          <w:szCs w:val="20"/>
          <w:color w:val="auto"/>
        </w:rPr>
      </w:pPr>
    </w:p>
    <w:p>
      <w:pPr>
        <w:ind w:left="160"/>
        <w:spacing w:after="0"/>
        <w:tabs>
          <w:tab w:leader="none" w:pos="10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19685</wp:posOffset>
            </wp:positionV>
            <wp:extent cx="3497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2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UAL-PA-04815-LA-23005341R1 SA-15</w:t>
      </w:r>
    </w:p>
    <w:p>
      <w:pPr>
        <w:spacing w:after="0" w:line="29" w:lineRule="exact"/>
        <w:rPr>
          <w:sz w:val="20"/>
          <w:szCs w:val="20"/>
          <w:color w:val="auto"/>
        </w:rPr>
      </w:pPr>
    </w:p>
    <w:p>
      <w:pPr>
        <w:ind w:left="20"/>
        <w:spacing w:after="0"/>
        <w:tabs>
          <w:tab w:leader="none" w:pos="9600" w:val="left"/>
        </w:tabs>
        <w:rPr>
          <w:sz w:val="20"/>
          <w:szCs w:val="20"/>
          <w:color w:val="auto"/>
        </w:rPr>
      </w:pPr>
      <w:r>
        <w:rPr>
          <w:rFonts w:ascii="Times New Roman" w:cs="Times New Roman" w:eastAsia="Times New Roman" w:hAnsi="Times New Roman"/>
          <w:sz w:val="22"/>
          <w:szCs w:val="22"/>
          <w:color w:val="auto"/>
        </w:rPr>
        <w:t xml:space="preserve">Special Matters - </w:t>
      </w:r>
      <w:r>
        <w:rPr>
          <w:rFonts w:ascii="Times New Roman" w:cs="Times New Roman" w:eastAsia="Times New Roman" w:hAnsi="Times New Roman"/>
          <w:sz w:val="22"/>
          <w:szCs w:val="22"/>
          <w:b w:val="1"/>
          <w:bCs w:val="1"/>
          <w:color w:val="auto"/>
        </w:rPr>
        <w:t>SA-13 *** 787 Aircraft</w:t>
      </w:r>
      <w:r>
        <w:rPr>
          <w:sz w:val="20"/>
          <w:szCs w:val="20"/>
          <w:color w:val="auto"/>
        </w:rPr>
        <w:tab/>
      </w:r>
      <w:r>
        <w:rPr>
          <w:rFonts w:ascii="Times New Roman" w:cs="Times New Roman" w:eastAsia="Times New Roman" w:hAnsi="Times New Roman"/>
          <w:sz w:val="21"/>
          <w:szCs w:val="21"/>
          <w:color w:val="auto"/>
        </w:rPr>
        <w:t>Page 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4932-4967-9491</w:t>
      </w:r>
    </w:p>
    <w:p>
      <w:pPr>
        <w:sectPr>
          <w:pgSz w:w="11900" w:h="16838" w:orient="portrait"/>
          <w:cols w:equalWidth="0" w:num="1">
            <w:col w:w="11240"/>
          </w:cols>
          <w:pgMar w:left="320" w:top="589" w:right="339" w:bottom="1440" w:gutter="0" w:footer="0" w:header="0"/>
        </w:sectPr>
      </w:pPr>
    </w:p>
    <w:bookmarkStart w:id="197" w:name="page198"/>
    <w:bookmarkEnd w:id="197"/>
    <w:p>
      <w:pPr>
        <w:ind w:left="23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t>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7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December 30, 2025</w:t>
            </w:r>
          </w:p>
        </w:tc>
        <w:tc>
          <w:tcPr>
            <w:tcW w:w="840" w:type="dxa"/>
            <w:vAlign w:val="bottom"/>
          </w:tcPr>
          <w:p>
            <w:pPr>
              <w:spacing w:after="0"/>
              <w:rPr>
                <w:sz w:val="24"/>
                <w:szCs w:val="24"/>
                <w:color w:val="auto"/>
              </w:rPr>
            </w:pPr>
          </w:p>
        </w:tc>
      </w:tr>
      <w:tr>
        <w:trPr>
          <w:trHeight w:val="519"/>
        </w:trPr>
        <w:tc>
          <w:tcPr>
            <w:tcW w:w="94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4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 John Gebo</w:t>
            </w:r>
          </w:p>
        </w:tc>
        <w:tc>
          <w:tcPr>
            <w:tcW w:w="840" w:type="dxa"/>
            <w:vAlign w:val="bottom"/>
            <w:tcBorders>
              <w:bottom w:val="single" w:sz="8" w:color="auto"/>
            </w:tcBorders>
          </w:tcPr>
          <w:p>
            <w:pPr>
              <w:spacing w:after="0"/>
              <w:rPr>
                <w:sz w:val="24"/>
                <w:szCs w:val="24"/>
                <w:color w:val="auto"/>
              </w:rPr>
            </w:pPr>
          </w:p>
        </w:tc>
      </w:tr>
      <w:tr>
        <w:trPr>
          <w:trHeight w:val="556"/>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140" w:type="dxa"/>
            <w:vAlign w:val="bottom"/>
          </w:tcPr>
          <w:p>
            <w:pPr>
              <w:spacing w:after="0"/>
              <w:rPr>
                <w:sz w:val="24"/>
                <w:szCs w:val="24"/>
                <w:color w:val="auto"/>
              </w:rPr>
            </w:pPr>
          </w:p>
        </w:tc>
        <w:tc>
          <w:tcPr>
            <w:tcW w:w="7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SVP Treasury, Fleet &amp; Fuel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UAL-PA-04815-LA-23005341R1</w:t>
            </w:r>
          </w:p>
        </w:tc>
        <w:tc>
          <w:tcPr>
            <w:tcW w:w="6300" w:type="dxa"/>
            <w:vAlign w:val="bottom"/>
          </w:tcPr>
          <w:p>
            <w:pPr>
              <w:ind w:left="5820"/>
              <w:spacing w:after="0"/>
              <w:rPr>
                <w:sz w:val="20"/>
                <w:szCs w:val="20"/>
                <w:color w:val="auto"/>
              </w:rPr>
            </w:pPr>
            <w:r>
              <w:rPr>
                <w:rFonts w:ascii="Times New Roman" w:cs="Times New Roman" w:eastAsia="Times New Roman" w:hAnsi="Times New Roman"/>
                <w:sz w:val="18"/>
                <w:szCs w:val="18"/>
                <w:color w:val="auto"/>
                <w:w w:val="97"/>
              </w:rPr>
              <w:t>SA-15</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Special Matters - </w:t>
            </w:r>
            <w:r>
              <w:rPr>
                <w:rFonts w:ascii="Times New Roman" w:cs="Times New Roman" w:eastAsia="Times New Roman" w:hAnsi="Times New Roman"/>
                <w:sz w:val="18"/>
                <w:szCs w:val="18"/>
                <w:b w:val="1"/>
                <w:bCs w:val="1"/>
                <w:color w:val="auto"/>
              </w:rPr>
              <w:t>SA-13 *** 787 Aircraft</w:t>
            </w:r>
          </w:p>
        </w:tc>
        <w:tc>
          <w:tcPr>
            <w:tcW w:w="6300" w:type="dxa"/>
            <w:vAlign w:val="bottom"/>
          </w:tcPr>
          <w:p>
            <w:pPr>
              <w:ind w:left="5820"/>
              <w:spacing w:after="0"/>
              <w:rPr>
                <w:sz w:val="20"/>
                <w:szCs w:val="20"/>
                <w:color w:val="auto"/>
              </w:rPr>
            </w:pPr>
            <w:r>
              <w:rPr>
                <w:rFonts w:ascii="Times New Roman" w:cs="Times New Roman" w:eastAsia="Times New Roman" w:hAnsi="Times New Roman"/>
                <w:sz w:val="18"/>
                <w:szCs w:val="18"/>
                <w:color w:val="auto"/>
                <w:w w:val="94"/>
              </w:rPr>
              <w:t>Page 3</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4932-4967-9491</w:t>
            </w:r>
          </w:p>
        </w:tc>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BOEING/UNITED AIRLINES, INC. PROPRIETARY</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19"/>
                <w:szCs w:val="19"/>
                <w:color w:val="auto"/>
              </w:rPr>
            </w:pPr>
          </w:p>
        </w:tc>
        <w:tc>
          <w:tcPr>
            <w:tcW w:w="6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119"/>
          </w:cols>
          <w:pgMar w:left="340" w:top="589" w:right="1440" w:bottom="1440" w:gutter="0" w:footer="0" w:header="0"/>
        </w:sectPr>
      </w:pPr>
    </w:p>
    <w:bookmarkStart w:id="198" w:name="page199"/>
    <w:bookmarkEnd w:id="198"/>
    <w:p>
      <w:pPr>
        <w:ind w:left="8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68450" cy="3600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t>The Boeing Company</w:t>
      </w:r>
    </w:p>
    <w:p>
      <w:pPr>
        <w:ind w:left="8700"/>
        <w:spacing w:after="0" w:line="219" w:lineRule="auto"/>
        <w:rPr>
          <w:sz w:val="20"/>
          <w:szCs w:val="20"/>
          <w:color w:val="auto"/>
        </w:rPr>
      </w:pPr>
      <w:r>
        <w:rPr>
          <w:rFonts w:ascii="Times New Roman" w:cs="Times New Roman" w:eastAsia="Times New Roman" w:hAnsi="Times New Roman"/>
          <w:sz w:val="18"/>
          <w:szCs w:val="18"/>
          <w:color w:val="auto"/>
        </w:rPr>
        <w:t>P.O. Box 3707</w:t>
      </w:r>
    </w:p>
    <w:p>
      <w:pPr>
        <w:ind w:left="8700"/>
        <w:spacing w:after="0"/>
        <w:rPr>
          <w:sz w:val="20"/>
          <w:szCs w:val="20"/>
          <w:color w:val="auto"/>
        </w:rPr>
      </w:pPr>
      <w:r>
        <w:rPr>
          <w:rFonts w:ascii="Times New Roman" w:cs="Times New Roman" w:eastAsia="Times New Roman" w:hAnsi="Times New Roman"/>
          <w:sz w:val="18"/>
          <w:szCs w:val="18"/>
          <w:color w:val="auto"/>
        </w:rPr>
        <w:t>Seattle, WA 98124 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664845</wp:posOffset>
            </wp:positionV>
            <wp:extent cx="5349240" cy="2825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31">
                      <a:extLst>
                        <a:ext uri="{28A0092B-C50C-407E-A947-70E740481C1C}"/>
                      </a:extLst>
                    </a:blip>
                    <a:srcRect/>
                    <a:stretch>
                      <a:fillRect/>
                    </a:stretch>
                  </pic:blipFill>
                  <pic:spPr bwMode="auto">
                    <a:xfrm>
                      <a:off x="0" y="0"/>
                      <a:ext cx="534924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color w:val="auto"/>
        </w:rPr>
        <w:t>UAL-PA-04815-LA-2505473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787 ***</w:t>
      </w:r>
    </w:p>
    <w:p>
      <w:pPr>
        <w:spacing w:after="0" w:line="216" w:lineRule="exact"/>
        <w:rPr>
          <w:sz w:val="20"/>
          <w:szCs w:val="20"/>
          <w:color w:val="auto"/>
        </w:rPr>
      </w:pPr>
    </w:p>
    <w:p>
      <w:pPr>
        <w:ind w:left="1300" w:hanging="1295"/>
        <w:spacing w:after="0" w:line="275" w:lineRule="auto"/>
        <w:tabs>
          <w:tab w:leader="none" w:pos="1280" w:val="left"/>
        </w:tabs>
        <w:rPr>
          <w:sz w:val="20"/>
          <w:szCs w:val="20"/>
          <w:color w:val="auto"/>
        </w:rPr>
      </w:pPr>
      <w:r>
        <w:rPr>
          <w:rFonts w:ascii="Times New Roman" w:cs="Times New Roman" w:eastAsia="Times New Roman" w:hAnsi="Times New Roman"/>
          <w:sz w:val="22"/>
          <w:szCs w:val="22"/>
          <w:color w:val="auto"/>
        </w:rPr>
        <w:t>Reference:</w:t>
      </w:r>
      <w:r>
        <w:rPr>
          <w:sz w:val="20"/>
          <w:szCs w:val="20"/>
          <w:color w:val="auto"/>
        </w:rPr>
        <w:tab/>
      </w:r>
      <w:r>
        <w:rPr>
          <w:rFonts w:ascii="Times New Roman" w:cs="Times New Roman" w:eastAsia="Times New Roman" w:hAnsi="Times New Roman"/>
          <w:sz w:val="22"/>
          <w:szCs w:val="22"/>
          <w:color w:val="auto"/>
        </w:rPr>
        <w:t>Purchase Agreement No. 04815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787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amends and supplements the Purchase Agreement. All terms used but not defined in this Letter Agreement shall have the same meaning as in the Purchase Agreement.</w:t>
      </w:r>
    </w:p>
    <w:p>
      <w:pPr>
        <w:spacing w:after="0" w:line="167" w:lineRule="exact"/>
        <w:rPr>
          <w:sz w:val="20"/>
          <w:szCs w:val="20"/>
          <w:color w:val="auto"/>
        </w:rPr>
      </w:pPr>
    </w:p>
    <w:p>
      <w:pPr>
        <w:ind w:left="460" w:hanging="371"/>
        <w:spacing w:after="0"/>
        <w:tabs>
          <w:tab w:leader="none" w:pos="4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60" w:hanging="371"/>
        <w:spacing w:after="0"/>
        <w:tabs>
          <w:tab w:leader="none" w:pos="4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2.2 Notwithstanding Article 2.1 of this Letter Agreement, the *** delivered Aircraft specified below have been agreed to *** pursuant to Supplemental Agreement No. 15 to the Purchase Agreement.</w:t>
      </w:r>
    </w:p>
    <w:p>
      <w:pPr>
        <w:spacing w:after="0" w:line="63"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22"/>
          <w:szCs w:val="22"/>
          <w:b w:val="1"/>
          <w:bCs w:val="1"/>
          <w:color w:val="auto"/>
        </w:rPr>
        <w:t>Contracted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-151765</wp:posOffset>
            </wp:positionV>
            <wp:extent cx="1337310" cy="642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32">
                      <a:extLst>
                        <a:ext uri="{28A0092B-C50C-407E-A947-70E740481C1C}"/>
                      </a:extLst>
                    </a:blip>
                    <a:srcRect/>
                    <a:stretch>
                      <a:fillRect/>
                    </a:stretch>
                  </pic:blipFill>
                  <pic:spPr bwMode="auto">
                    <a:xfrm>
                      <a:off x="0" y="0"/>
                      <a:ext cx="1337310" cy="642620"/>
                    </a:xfrm>
                    <a:prstGeom prst="rect">
                      <a:avLst/>
                    </a:prstGeom>
                    <a:noFill/>
                  </pic:spPr>
                </pic:pic>
              </a:graphicData>
            </a:graphic>
          </wp:anchor>
        </w:drawing>
      </w:r>
    </w:p>
    <w:p>
      <w:pPr>
        <w:jc w:val="center"/>
        <w:ind w:right="2040"/>
        <w:spacing w:after="0" w:line="204" w:lineRule="auto"/>
        <w:rPr>
          <w:sz w:val="20"/>
          <w:szCs w:val="20"/>
          <w:color w:val="auto"/>
        </w:rPr>
      </w:pPr>
      <w:r>
        <w:rPr>
          <w:rFonts w:ascii="Times New Roman" w:cs="Times New Roman" w:eastAsia="Times New Roman" w:hAnsi="Times New Roman"/>
          <w:sz w:val="22"/>
          <w:szCs w:val="22"/>
          <w:b w:val="1"/>
          <w:bCs w:val="1"/>
          <w:color w:val="auto"/>
        </w:rPr>
        <w:t>Delivery</w:t>
      </w:r>
    </w:p>
    <w:p>
      <w:pPr>
        <w:spacing w:after="0" w:line="1" w:lineRule="exact"/>
        <w:rPr>
          <w:sz w:val="20"/>
          <w:szCs w:val="20"/>
          <w:color w:val="auto"/>
        </w:rPr>
      </w:pPr>
    </w:p>
    <w:p>
      <w:pPr>
        <w:ind w:left="3320"/>
        <w:spacing w:after="0"/>
        <w:tabs>
          <w:tab w:leader="none" w:pos="4420" w:val="left"/>
        </w:tabs>
        <w:rPr>
          <w:sz w:val="20"/>
          <w:szCs w:val="20"/>
          <w:color w:val="auto"/>
        </w:rPr>
      </w:pPr>
      <w:r>
        <w:rPr>
          <w:rFonts w:ascii="Times New Roman" w:cs="Times New Roman" w:eastAsia="Times New Roman" w:hAnsi="Times New Roman"/>
          <w:sz w:val="22"/>
          <w:szCs w:val="22"/>
          <w:b w:val="1"/>
          <w:bCs w:val="1"/>
          <w:color w:val="auto"/>
        </w:rPr>
        <w:t>MSN</w:t>
      </w:r>
      <w:r>
        <w:rPr>
          <w:sz w:val="20"/>
          <w:szCs w:val="20"/>
          <w:color w:val="auto"/>
        </w:rPr>
        <w:tab/>
      </w:r>
      <w:r>
        <w:rPr>
          <w:rFonts w:ascii="Times New Roman" w:cs="Times New Roman" w:eastAsia="Times New Roman" w:hAnsi="Times New Roman"/>
          <w:sz w:val="22"/>
          <w:szCs w:val="22"/>
          <w:b w:val="1"/>
          <w:bCs w:val="1"/>
          <w:color w:val="auto"/>
        </w:rPr>
        <w:t>***</w:t>
      </w:r>
    </w:p>
    <w:p>
      <w:pPr>
        <w:spacing w:after="0" w:line="7" w:lineRule="exact"/>
        <w:rPr>
          <w:sz w:val="20"/>
          <w:szCs w:val="20"/>
          <w:color w:val="auto"/>
        </w:rPr>
      </w:pPr>
    </w:p>
    <w:p>
      <w:pPr>
        <w:ind w:left="3400"/>
        <w:spacing w:after="0"/>
        <w:tabs>
          <w:tab w:leader="none" w:pos="44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328" w:lineRule="exact"/>
        <w:rPr>
          <w:sz w:val="20"/>
          <w:szCs w:val="20"/>
          <w:color w:val="auto"/>
        </w:rPr>
      </w:pPr>
    </w:p>
    <w:p>
      <w:pPr>
        <w:ind w:left="460" w:hanging="371"/>
        <w:spacing w:after="0"/>
        <w:tabs>
          <w:tab w:leader="none" w:pos="4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At time of delivery of each Aircraft subject to ***. For the avoidance of doubt, the *** will be based on the Scheduled Delivery *** of each ***.</w:t>
      </w:r>
    </w:p>
    <w:p>
      <w:pPr>
        <w:spacing w:after="0" w:line="200" w:lineRule="exact"/>
        <w:rPr>
          <w:sz w:val="20"/>
          <w:szCs w:val="20"/>
          <w:color w:val="auto"/>
        </w:rPr>
      </w:pPr>
    </w:p>
    <w:p>
      <w:pPr>
        <w:spacing w:after="0" w:line="349"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2"/>
          <w:szCs w:val="22"/>
          <w:color w:val="auto"/>
        </w:rPr>
        <w:t>UAL-PA-04815-LA-2505473</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787 ***</w:t>
      </w:r>
      <w:r>
        <w:rPr>
          <w:sz w:val="20"/>
          <w:szCs w:val="20"/>
          <w:color w:val="auto"/>
        </w:rPr>
        <w:tab/>
      </w:r>
      <w:r>
        <w:rPr>
          <w:rFonts w:ascii="Times New Roman" w:cs="Times New Roman" w:eastAsia="Times New Roman" w:hAnsi="Times New Roman"/>
          <w:sz w:val="21"/>
          <w:szCs w:val="21"/>
          <w:color w:val="auto"/>
        </w:rPr>
        <w:t>Page 1</w:t>
      </w:r>
    </w:p>
    <w:p>
      <w:pPr>
        <w:jc w:val="center"/>
        <w:spacing w:after="0" w:line="233" w:lineRule="auto"/>
        <w:rPr>
          <w:sz w:val="20"/>
          <w:szCs w:val="20"/>
          <w:color w:val="auto"/>
        </w:rPr>
      </w:pPr>
      <w:r>
        <w:rPr>
          <w:rFonts w:ascii="Times New Roman" w:cs="Times New Roman" w:eastAsia="Times New Roman" w:hAnsi="Times New Roman"/>
          <w:sz w:val="22"/>
          <w:szCs w:val="22"/>
          <w:b w:val="1"/>
          <w:bCs w:val="1"/>
          <w:color w:val="auto"/>
        </w:rPr>
        <w:t>BOEING/ UNITED AIRLINES, INC. PROPRIETARY</w:t>
      </w:r>
    </w:p>
    <w:p>
      <w:pPr>
        <w:spacing w:after="0"/>
        <w:rPr>
          <w:sz w:val="20"/>
          <w:szCs w:val="20"/>
          <w:color w:val="auto"/>
        </w:rPr>
      </w:pPr>
      <w:r>
        <w:rPr>
          <w:rFonts w:ascii="Times New Roman" w:cs="Times New Roman" w:eastAsia="Times New Roman" w:hAnsi="Times New Roman"/>
          <w:sz w:val="13"/>
          <w:szCs w:val="13"/>
          <w:color w:val="auto"/>
        </w:rPr>
        <w:t>4928-8169-3569v.7</w:t>
      </w:r>
    </w:p>
    <w:p>
      <w:pPr>
        <w:sectPr>
          <w:pgSz w:w="11900" w:h="16838" w:orient="portrait"/>
          <w:cols w:equalWidth="0" w:num="1">
            <w:col w:w="11240"/>
          </w:cols>
          <w:pgMar w:left="320" w:top="218" w:right="339" w:bottom="144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8450" cy="3600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14" w:lineRule="exact"/>
        <w:rPr>
          <w:sz w:val="20"/>
          <w:szCs w:val="20"/>
          <w:color w:val="auto"/>
        </w:rPr>
      </w:pPr>
    </w:p>
    <w:p>
      <w:pPr>
        <w:ind w:left="460" w:hanging="371"/>
        <w:spacing w:after="0"/>
        <w:tabs>
          <w:tab w:leader="none" w:pos="4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on ***</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addition to the *** in Article 2, for *** interest calculated as follows (</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4.1 The product of the daily interest rate, computed by dividing the interest rate in effect for each day by three hundred sixty (360) days, will be applied during the *** retained by Boeing for the *** Aircraft at the time of commencement of the ***. The rate used to calculate such interest will be the *** is the forward-looking *** based on *** that has been selected or recommended by the Board of Governors of the Federal Reserve System or the Federal Reserve Bank of New York (or a committee officially endorsed or convened by either, or any successor thereto), which is published by the Chicago Mercantile Exchange (</w:t>
      </w:r>
      <w:r>
        <w:rPr>
          <w:rFonts w:ascii="Times New Roman" w:cs="Times New Roman" w:eastAsia="Times New Roman" w:hAnsi="Times New Roman"/>
          <w:sz w:val="22"/>
          <w:szCs w:val="22"/>
          <w:b w:val="1"/>
          <w:bCs w:val="1"/>
          <w:color w:val="auto"/>
        </w:rPr>
        <w:t>CME</w:t>
      </w:r>
      <w:r>
        <w:rPr>
          <w:rFonts w:ascii="Times New Roman" w:cs="Times New Roman" w:eastAsia="Times New Roman" w:hAnsi="Times New Roman"/>
          <w:sz w:val="22"/>
          <w:szCs w:val="22"/>
          <w:color w:val="auto"/>
        </w:rPr>
        <w:t>) Group. The effective rate will be the rate in effect on the *** U.S. business day of the calendar *** for the delivery *** and will be reset every calendar ***. Such Interest will be calculated on a simple interest basis and paid in full at ***.</w:t>
      </w:r>
    </w:p>
    <w:p>
      <w:pPr>
        <w:spacing w:after="0" w:line="18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If the *** is not publicly available, then the parties shall enter into an amendment to this Agreement to incorporate a</w:t>
      </w:r>
    </w:p>
    <w:p>
      <w:pPr>
        <w:spacing w:after="0" w:line="28" w:lineRule="exact"/>
        <w:rPr>
          <w:sz w:val="20"/>
          <w:szCs w:val="20"/>
          <w:color w:val="auto"/>
        </w:rPr>
      </w:pPr>
    </w:p>
    <w:p>
      <w:pPr>
        <w:ind w:firstLine="8"/>
        <w:spacing w:after="0" w:line="261" w:lineRule="auto"/>
        <w:tabs>
          <w:tab w:leader="none" w:pos="38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that gives due consideration to the then prevailing market convention for determining a rate of interest for loans in the United States that at such time is (i) generally accepted in commercial markets and (ii) most equivalent to the ***.</w:t>
      </w:r>
    </w:p>
    <w:p>
      <w:pPr>
        <w:spacing w:after="0" w:line="168" w:lineRule="exact"/>
        <w:rPr>
          <w:sz w:val="20"/>
          <w:szCs w:val="20"/>
          <w:color w:val="auto"/>
        </w:rPr>
      </w:pPr>
    </w:p>
    <w:p>
      <w:pPr>
        <w:ind w:left="460" w:hanging="371"/>
        <w:spacing w:after="0"/>
        <w:tabs>
          <w:tab w:leader="none" w:pos="4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Customer will not have the right to ***. Subject to Articles 5.2, 5.3, and 5.4 of this Letter Agreement, if ***.</w:t>
      </w:r>
    </w:p>
    <w:p>
      <w:pPr>
        <w:spacing w:after="0" w:line="16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If Customer *** the *** pursuant to Article 5 of this Letter Agreement, and the ***.</w:t>
      </w:r>
    </w:p>
    <w:p>
      <w:pPr>
        <w:spacing w:after="0" w:line="16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For each additional *** of no less than *** beyond the ***, Customer may terminate ***.</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In the event that the *** of a ***.</w:t>
      </w:r>
    </w:p>
    <w:p>
      <w:pPr>
        <w:spacing w:after="0" w:line="16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5.5 For purposes of determining rights to *** pursuant to ***, the scheduled delivery *** for the *** shall be the delivery ***.</w:t>
      </w:r>
    </w:p>
    <w:p>
      <w:pPr>
        <w:spacing w:after="0" w:line="158" w:lineRule="exact"/>
        <w:rPr>
          <w:sz w:val="20"/>
          <w:szCs w:val="20"/>
          <w:color w:val="auto"/>
        </w:rPr>
      </w:pPr>
    </w:p>
    <w:p>
      <w:pPr>
        <w:ind w:left="460" w:hanging="371"/>
        <w:spacing w:after="0"/>
        <w:tabs>
          <w:tab w:leader="none" w:pos="4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BFE Purchase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the Purchase Agreement *** with respect to any Aircraft for a ***, then the following provisions will apply:</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w:t>
      </w:r>
    </w:p>
    <w:p>
      <w:pPr>
        <w:spacing w:after="0" w:line="23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BFE Purchase</w:t>
      </w:r>
      <w:r>
        <w:rPr>
          <w:rFonts w:ascii="Times New Roman" w:cs="Times New Roman" w:eastAsia="Times New Roman" w:hAnsi="Times New Roman"/>
          <w:sz w:val="22"/>
          <w:szCs w:val="22"/>
          <w:color w:val="auto"/>
        </w:rPr>
        <w:t>. *** may elect, by written notice to *** within *** following the effective date of any *** pursuant to this Letter Agreement, to *** from *** any BFE related to such Aircraft at ***. Such BFE purchase will *** to the BFE to *** or a third-party, as specified</w:t>
      </w:r>
    </w:p>
    <w:p>
      <w:pPr>
        <w:spacing w:after="0" w:line="200" w:lineRule="exact"/>
        <w:rPr>
          <w:sz w:val="20"/>
          <w:szCs w:val="20"/>
          <w:color w:val="auto"/>
        </w:rPr>
      </w:pPr>
    </w:p>
    <w:p>
      <w:pPr>
        <w:spacing w:after="0" w:line="364"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2"/>
          <w:szCs w:val="22"/>
          <w:color w:val="auto"/>
        </w:rPr>
        <w:t>UAL-PA-04815-LA-2505473</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787 ***</w:t>
      </w:r>
      <w:r>
        <w:rPr>
          <w:sz w:val="20"/>
          <w:szCs w:val="20"/>
          <w:color w:val="auto"/>
        </w:rPr>
        <w:tab/>
      </w:r>
      <w:r>
        <w:rPr>
          <w:rFonts w:ascii="Times New Roman" w:cs="Times New Roman" w:eastAsia="Times New Roman" w:hAnsi="Times New Roman"/>
          <w:sz w:val="21"/>
          <w:szCs w:val="21"/>
          <w:color w:val="auto"/>
        </w:rPr>
        <w:t>Page 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UNITED AIRLINES, INC. PROPRIETARY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4928-8169-3569v.7</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8450" cy="3600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1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by *** will also *** to such party specified by ***: (i) *** associated with the purchased BFE, ***, and (ii) all remaining *** and any other *** connected with the purchased BFE, if and as requested by ***.</w:t>
      </w:r>
    </w:p>
    <w:p>
      <w:pPr>
        <w:spacing w:after="0" w:line="144" w:lineRule="exact"/>
        <w:rPr>
          <w:sz w:val="20"/>
          <w:szCs w:val="20"/>
          <w:color w:val="auto"/>
        </w:rPr>
      </w:pPr>
    </w:p>
    <w:p>
      <w:pPr>
        <w:ind w:left="460" w:hanging="371"/>
        <w:spacing w:after="0"/>
        <w:tabs>
          <w:tab w:leader="none" w:pos="46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 in this Letter Agreement are *** for a *** and are *** delivery. Customer *** or otherwise for any such ***.</w:t>
      </w:r>
    </w:p>
    <w:p>
      <w:pPr>
        <w:spacing w:after="0" w:line="220" w:lineRule="exact"/>
        <w:rPr>
          <w:sz w:val="20"/>
          <w:szCs w:val="20"/>
          <w:color w:val="auto"/>
        </w:rPr>
      </w:pPr>
    </w:p>
    <w:p>
      <w:pPr>
        <w:ind w:left="460" w:hanging="371"/>
        <w:spacing w:after="0"/>
        <w:tabs>
          <w:tab w:leader="none" w:pos="4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the rights and obligations described in this Letter Agreement are provided to Customer in consideration of Customer’s becoming the operator of the Aircraft and cannot be assigned in whole or, in part.</w:t>
      </w:r>
    </w:p>
    <w:p>
      <w:pPr>
        <w:spacing w:after="0" w:line="167" w:lineRule="exact"/>
        <w:rPr>
          <w:sz w:val="20"/>
          <w:szCs w:val="20"/>
          <w:color w:val="auto"/>
        </w:rPr>
      </w:pPr>
    </w:p>
    <w:p>
      <w:pPr>
        <w:ind w:left="460" w:hanging="371"/>
        <w:spacing w:after="0"/>
        <w:tabs>
          <w:tab w:leader="none" w:pos="4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87"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19685</wp:posOffset>
            </wp:positionV>
            <wp:extent cx="6343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35">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67"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19685</wp:posOffset>
            </wp:positionV>
            <wp:extent cx="18859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3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2"/>
          <w:szCs w:val="22"/>
          <w:color w:val="auto"/>
        </w:rPr>
        <w:t>UAL-PA-04815-LA-2505473</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787 ***</w:t>
      </w:r>
      <w:r>
        <w:rPr>
          <w:sz w:val="20"/>
          <w:szCs w:val="20"/>
          <w:color w:val="auto"/>
        </w:rPr>
        <w:tab/>
      </w:r>
      <w:r>
        <w:rPr>
          <w:rFonts w:ascii="Times New Roman" w:cs="Times New Roman" w:eastAsia="Times New Roman" w:hAnsi="Times New Roman"/>
          <w:sz w:val="21"/>
          <w:szCs w:val="21"/>
          <w:color w:val="auto"/>
        </w:rPr>
        <w:t>Page 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UNITED AIRLINES, INC. PROPRIETARY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4928-8169-3569v.7</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8450" cy="3600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160" w:type="dxa"/>
            <w:vAlign w:val="bottom"/>
          </w:tcPr>
          <w:p>
            <w:pPr>
              <w:spacing w:after="0"/>
              <w:rPr>
                <w:sz w:val="24"/>
                <w:szCs w:val="24"/>
                <w:color w:val="auto"/>
              </w:rPr>
            </w:pPr>
          </w:p>
        </w:tc>
        <w:tc>
          <w:tcPr>
            <w:tcW w:w="6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December 30, 2025</w:t>
            </w:r>
          </w:p>
        </w:tc>
        <w:tc>
          <w:tcPr>
            <w:tcW w:w="120" w:type="dxa"/>
            <w:vAlign w:val="bottom"/>
          </w:tcPr>
          <w:p>
            <w:pPr>
              <w:spacing w:after="0"/>
              <w:rPr>
                <w:sz w:val="24"/>
                <w:szCs w:val="24"/>
                <w:color w:val="auto"/>
              </w:rPr>
            </w:pPr>
          </w:p>
        </w:tc>
      </w:tr>
      <w:tr>
        <w:trPr>
          <w:trHeight w:val="519"/>
        </w:trPr>
        <w:tc>
          <w:tcPr>
            <w:tcW w:w="84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 John Gebo</w:t>
            </w:r>
          </w:p>
        </w:tc>
        <w:tc>
          <w:tcPr>
            <w:tcW w:w="120" w:type="dxa"/>
            <w:vAlign w:val="bottom"/>
            <w:tcBorders>
              <w:bottom w:val="single" w:sz="8" w:color="auto"/>
            </w:tcBorders>
          </w:tcPr>
          <w:p>
            <w:pPr>
              <w:spacing w:after="0"/>
              <w:rPr>
                <w:sz w:val="24"/>
                <w:szCs w:val="24"/>
                <w:color w:val="auto"/>
              </w:rPr>
            </w:pPr>
          </w:p>
        </w:tc>
      </w:tr>
      <w:tr>
        <w:trPr>
          <w:trHeight w:val="556"/>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7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SVP Treasury, Fleet &amp; Fuel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2"/>
          <w:szCs w:val="22"/>
          <w:color w:val="auto"/>
        </w:rPr>
        <w:t>UAL-PA-04815-LA-2505473</w:t>
      </w:r>
      <w:r>
        <w:rPr>
          <w:sz w:val="20"/>
          <w:szCs w:val="20"/>
          <w:color w:val="auto"/>
        </w:rPr>
        <w:tab/>
      </w:r>
      <w:r>
        <w:rPr>
          <w:rFonts w:ascii="Times New Roman" w:cs="Times New Roman" w:eastAsia="Times New Roman" w:hAnsi="Times New Roman"/>
          <w:sz w:val="21"/>
          <w:szCs w:val="21"/>
          <w:color w:val="auto"/>
        </w:rPr>
        <w:t>SA-15</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787 ***</w:t>
      </w:r>
      <w:r>
        <w:rPr>
          <w:sz w:val="20"/>
          <w:szCs w:val="20"/>
          <w:color w:val="auto"/>
        </w:rPr>
        <w:tab/>
      </w:r>
      <w:r>
        <w:rPr>
          <w:rFonts w:ascii="Times New Roman" w:cs="Times New Roman" w:eastAsia="Times New Roman" w:hAnsi="Times New Roman"/>
          <w:sz w:val="21"/>
          <w:szCs w:val="21"/>
          <w:color w:val="auto"/>
        </w:rPr>
        <w:t>Page 4</w:t>
      </w:r>
    </w:p>
    <w:p>
      <w:pPr>
        <w:spacing w:after="0" w:line="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BOEING/ UNITED AIRLINES, INC. PROPRIETARY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4928-8169-3569v.7</w:t>
      </w:r>
    </w:p>
    <w:p>
      <w:pPr>
        <w:sectPr>
          <w:pgSz w:w="11900" w:h="16838" w:orient="portrait"/>
          <w:cols w:equalWidth="0" w:num="1">
            <w:col w:w="10139"/>
          </w:cols>
          <w:pgMar w:left="320" w:top="1440" w:right="1440"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22"/>
          <w:szCs w:val="22"/>
          <w:b w:val="1"/>
          <w:bCs w:val="1"/>
          <w:u w:val="single" w:color="auto"/>
          <w:color w:val="auto"/>
        </w:rPr>
        <w:t>EXECUTION VERSION</w:t>
      </w:r>
    </w:p>
    <w:p>
      <w:pPr>
        <w:spacing w:after="0" w:line="22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AMENDMENT NO. 3 TO TERM LOAN CREDIT AND GUARANTY AGREEMENT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AMENDMENT NO. 3 TO TERM LOAN CREDIT AND GUARANTY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November 1, 2024 among UNITED AIRLINES,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UNITED AIRLINES HOLDINGS, INC.,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JPMORGAN CHASE BANK, N.A., as Fronting Lender (as defined below), and JPMORGAN CHASE BANK, N.A., as administrative agent for the Lenders party to the Loan Agreement referred to below (together with its permitted successors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on behalf of the Consenting Lenders (as defined below) executing consents to this Amendment. Unless otherwise indicated, all capitalized terms used herein and not otherwise defined shall have the respective meanings provided such terms in the Loan Agreement referred to below (as amended by this Amendment).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WHEREAS, the Borrower, Parent and certain of its subsidiaries other than the Borrower from time to time, as guarantors, the Lenders and the Administrative Agent are parties to a $5,000,000,000 Term Loan Credit and Guaranty Agreement dated as of April 21, 2021 (as amended by that certain Amendment No. 1 dated June 29, 2023 and by that certain Amendment No. 2 dated February 22, 2024, and as further amended, modified and supplemented and in effect on the date hereof, the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WHEREAS, the Borrower has delivered to the Administrative Agent an optional prepayment notice pursuant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of the Loan Agreement for a partial pro rata prepayment of the Class B Term Loans in an amount equal to $400,000,000, such that the aggregate principal amount outstanding on the Third Amendment Effective Date shall be $2,087,500,000.00 (after giving effect to such prepayment and immediately following effectiveness of this Amendment);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Borrower has requested to amend certain terms of the Loan Agreement as hereinafter set forth;</w:t>
      </w:r>
    </w:p>
    <w:p>
      <w:pPr>
        <w:spacing w:after="0" w:line="23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WHEREAS, with respect to the Term Lenders holding any Term Loans outstanding immediately prior to the Third Amendment Effective Date (as defined below) (such Term Loans, the “</w:t>
      </w:r>
      <w:r>
        <w:rPr>
          <w:rFonts w:ascii="Times New Roman" w:cs="Times New Roman" w:eastAsia="Times New Roman" w:hAnsi="Times New Roman"/>
          <w:sz w:val="21"/>
          <w:szCs w:val="21"/>
          <w:u w:val="single" w:color="auto"/>
          <w:color w:val="auto"/>
        </w:rPr>
        <w:t>Refinanced Term Loans</w:t>
      </w:r>
      <w:r>
        <w:rPr>
          <w:rFonts w:ascii="Times New Roman" w:cs="Times New Roman" w:eastAsia="Times New Roman" w:hAnsi="Times New Roman"/>
          <w:sz w:val="21"/>
          <w:szCs w:val="21"/>
          <w:color w:val="auto"/>
        </w:rPr>
        <w:t>”) whose executed consent to this Amendment has not been received by the Administrative Agent on or prior to a deadline (the “</w:t>
      </w:r>
      <w:r>
        <w:rPr>
          <w:rFonts w:ascii="Times New Roman" w:cs="Times New Roman" w:eastAsia="Times New Roman" w:hAnsi="Times New Roman"/>
          <w:sz w:val="21"/>
          <w:szCs w:val="21"/>
          <w:u w:val="single" w:color="auto"/>
          <w:color w:val="auto"/>
        </w:rPr>
        <w:t>Non-Consenting Lenders</w:t>
      </w:r>
      <w:r>
        <w:rPr>
          <w:rFonts w:ascii="Times New Roman" w:cs="Times New Roman" w:eastAsia="Times New Roman" w:hAnsi="Times New Roman"/>
          <w:sz w:val="21"/>
          <w:szCs w:val="21"/>
          <w:color w:val="auto"/>
        </w:rPr>
        <w:t>”; the Term Lenders that are not the Non-Consenting Lenders (including the “Fronting Lender” as defined below) are hereinafter referred to as the “</w:t>
      </w:r>
      <w:r>
        <w:rPr>
          <w:rFonts w:ascii="Times New Roman" w:cs="Times New Roman" w:eastAsia="Times New Roman" w:hAnsi="Times New Roman"/>
          <w:sz w:val="21"/>
          <w:szCs w:val="21"/>
          <w:u w:val="single" w:color="auto"/>
          <w:color w:val="auto"/>
        </w:rPr>
        <w:t>Consenting Lenders</w:t>
      </w:r>
      <w:r>
        <w:rPr>
          <w:rFonts w:ascii="Times New Roman" w:cs="Times New Roman" w:eastAsia="Times New Roman" w:hAnsi="Times New Roman"/>
          <w:sz w:val="21"/>
          <w:szCs w:val="21"/>
          <w:color w:val="auto"/>
        </w:rPr>
        <w:t>”) as agreed between the Borrower and the Administrative Agent and announced by the Administrative Agent to the Term Lenders (the “</w:t>
      </w:r>
      <w:r>
        <w:rPr>
          <w:rFonts w:ascii="Times New Roman" w:cs="Times New Roman" w:eastAsia="Times New Roman" w:hAnsi="Times New Roman"/>
          <w:sz w:val="21"/>
          <w:szCs w:val="21"/>
          <w:u w:val="single" w:color="auto"/>
          <w:color w:val="auto"/>
        </w:rPr>
        <w:t>Consent Deadline</w:t>
      </w:r>
      <w:r>
        <w:rPr>
          <w:rFonts w:ascii="Times New Roman" w:cs="Times New Roman" w:eastAsia="Times New Roman" w:hAnsi="Times New Roman"/>
          <w:sz w:val="21"/>
          <w:szCs w:val="21"/>
          <w:color w:val="auto"/>
        </w:rPr>
        <w:t xml:space="preserve">”), the Borrower hereby gives notice to each Non-Consenting Lender, pursuant to </w:t>
      </w:r>
      <w:r>
        <w:rPr>
          <w:rFonts w:ascii="Times New Roman" w:cs="Times New Roman" w:eastAsia="Times New Roman" w:hAnsi="Times New Roman"/>
          <w:sz w:val="21"/>
          <w:szCs w:val="21"/>
          <w:u w:val="single" w:color="auto"/>
          <w:color w:val="auto"/>
        </w:rPr>
        <w:t>Section 10.08(e)</w:t>
      </w:r>
      <w:r>
        <w:rPr>
          <w:rFonts w:ascii="Times New Roman" w:cs="Times New Roman" w:eastAsia="Times New Roman" w:hAnsi="Times New Roman"/>
          <w:sz w:val="21"/>
          <w:szCs w:val="21"/>
          <w:color w:val="auto"/>
        </w:rPr>
        <w:t xml:space="preserve"> of the Loan Agreement, that upon the Third Amendment Effective Date, the principal amount of its Refinanced Term Loans will be repaid in full on behalf of the Borrower by the Administrative Agent or JPMorgan Chase Bank, N.A., as Fronting Lender (the “</w:t>
      </w:r>
      <w:r>
        <w:rPr>
          <w:rFonts w:ascii="Times New Roman" w:cs="Times New Roman" w:eastAsia="Times New Roman" w:hAnsi="Times New Roman"/>
          <w:sz w:val="21"/>
          <w:szCs w:val="21"/>
          <w:u w:val="single" w:color="auto"/>
          <w:color w:val="auto"/>
        </w:rPr>
        <w:t>Fronting Lender</w:t>
      </w:r>
      <w:r>
        <w:rPr>
          <w:rFonts w:ascii="Times New Roman" w:cs="Times New Roman" w:eastAsia="Times New Roman" w:hAnsi="Times New Roman"/>
          <w:sz w:val="21"/>
          <w:szCs w:val="21"/>
          <w:color w:val="auto"/>
        </w:rPr>
        <w:t>”), together with all accrued and unpaid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ectPr>
          <w:pgSz w:w="11900" w:h="16838" w:orient="portrait"/>
          <w:cols w:equalWidth="0" w:num="1">
            <w:col w:w="11240"/>
          </w:cols>
          <w:pgMar w:left="320" w:top="603"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39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WHEREAS, on the Third Amendment Effective Date, the Refinanced Term Loans held by the Consenting Lenders and Fronting Lender shall be converted to new Class B Term Loans (the “</w:t>
      </w:r>
      <w:r>
        <w:rPr>
          <w:rFonts w:ascii="Times New Roman" w:cs="Times New Roman" w:eastAsia="Times New Roman" w:hAnsi="Times New Roman"/>
          <w:sz w:val="22"/>
          <w:szCs w:val="22"/>
          <w:u w:val="single" w:color="auto"/>
          <w:color w:val="auto"/>
        </w:rPr>
        <w:t>Replacement Term Loans</w:t>
      </w:r>
      <w:r>
        <w:rPr>
          <w:rFonts w:ascii="Times New Roman" w:cs="Times New Roman" w:eastAsia="Times New Roman" w:hAnsi="Times New Roman"/>
          <w:sz w:val="22"/>
          <w:szCs w:val="22"/>
          <w:color w:val="auto"/>
        </w:rPr>
        <w:t>”); and</w:t>
      </w:r>
    </w:p>
    <w:p>
      <w:pPr>
        <w:spacing w:after="0" w:line="185"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SECTION 1 - Loan Agreement Amendments</w:t>
      </w:r>
      <w:r>
        <w:rPr>
          <w:rFonts w:ascii="Times New Roman" w:cs="Times New Roman" w:eastAsia="Times New Roman" w:hAnsi="Times New Roman"/>
          <w:sz w:val="22"/>
          <w:szCs w:val="22"/>
          <w:color w:val="auto"/>
        </w:rPr>
        <w:t xml:space="preserve">. Subject to the satisfaction of the conditions set forth in </w:t>
      </w:r>
      <w:r>
        <w:rPr>
          <w:rFonts w:ascii="Times New Roman" w:cs="Times New Roman" w:eastAsia="Times New Roman" w:hAnsi="Times New Roman"/>
          <w:sz w:val="22"/>
          <w:szCs w:val="22"/>
          <w:u w:val="single" w:color="auto"/>
          <w:color w:val="auto"/>
        </w:rPr>
        <w:t>Section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96" w:lineRule="exact"/>
        <w:rPr>
          <w:sz w:val="20"/>
          <w:szCs w:val="20"/>
          <w:color w:val="auto"/>
        </w:rPr>
      </w:pPr>
    </w:p>
    <w:p>
      <w:pPr>
        <w:ind w:firstLine="1304"/>
        <w:spacing w:after="0" w:line="258" w:lineRule="auto"/>
        <w:tabs>
          <w:tab w:leader="none" w:pos="160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Amended Definition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Loan Agreement shall be amended by amending and restating in its entirety the below definition as follows:</w:t>
      </w:r>
    </w:p>
    <w:p>
      <w:pPr>
        <w:spacing w:after="0" w:line="1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xml:space="preserve">” shall mean the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determined pursuant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184785</wp:posOffset>
            </wp:positionV>
            <wp:extent cx="2529205" cy="8058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38">
                      <a:extLst>
                        <a:ext uri="{28A0092B-C50C-407E-A947-70E740481C1C}"/>
                      </a:extLst>
                    </a:blip>
                    <a:srcRect/>
                    <a:stretch>
                      <a:fillRect/>
                    </a:stretch>
                  </pic:blipFill>
                  <pic:spPr bwMode="auto">
                    <a:xfrm>
                      <a:off x="0" y="0"/>
                      <a:ext cx="2529205" cy="805815"/>
                    </a:xfrm>
                    <a:prstGeom prst="rect">
                      <a:avLst/>
                    </a:prstGeom>
                    <a:noFill/>
                  </pic:spPr>
                </pic:pic>
              </a:graphicData>
            </a:graphic>
          </wp:anchor>
        </w:drawing>
      </w:r>
    </w:p>
    <w:p>
      <w:pPr>
        <w:spacing w:after="0" w:line="28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Term Loans</w:t>
      </w:r>
    </w:p>
    <w:p>
      <w:pPr>
        <w:spacing w:after="0" w:line="34" w:lineRule="exact"/>
        <w:rPr>
          <w:sz w:val="20"/>
          <w:szCs w:val="20"/>
          <w:color w:val="auto"/>
        </w:rPr>
      </w:pPr>
    </w:p>
    <w:tbl>
      <w:tblPr>
        <w:tblLayout w:type="fixed"/>
        <w:tblInd w:w="2200" w:type="dxa"/>
        <w:tblCellMar>
          <w:top w:w="0" w:type="dxa"/>
          <w:left w:w="0" w:type="dxa"/>
          <w:bottom w:w="0" w:type="dxa"/>
          <w:right w:w="0" w:type="dxa"/>
        </w:tblCellMar>
      </w:tblPr>
      <w:tr>
        <w:trPr>
          <w:trHeight w:val="211"/>
        </w:trPr>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Applicable Margin</w:t>
            </w: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 Margin ABR</w:t>
            </w:r>
          </w:p>
        </w:tc>
      </w:tr>
      <w:tr>
        <w:trPr>
          <w:trHeight w:val="234"/>
        </w:trPr>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Benchmark Loans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r>
      <w:tr>
        <w:trPr>
          <w:trHeight w:val="270"/>
        </w:trPr>
        <w:tc>
          <w:tcPr>
            <w:tcW w:w="200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r>
      <w:tr>
        <w:trPr>
          <w:trHeight w:val="228"/>
        </w:trPr>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22"/>
        </w:trPr>
        <w:tc>
          <w:tcPr>
            <w:tcW w:w="200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1304"/>
        <w:spacing w:after="0" w:line="258" w:lineRule="auto"/>
        <w:tabs>
          <w:tab w:leader="none" w:pos="160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Definitions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Loan Agreement shall be amended by including the following definitions in the correct alphabetical order:</w:t>
      </w:r>
    </w:p>
    <w:p>
      <w:pPr>
        <w:spacing w:after="0" w:line="185" w:lineRule="exact"/>
        <w:rPr>
          <w:sz w:val="20"/>
          <w:szCs w:val="20"/>
          <w:color w:val="auto"/>
        </w:rPr>
      </w:pPr>
    </w:p>
    <w:p>
      <w:pPr>
        <w:ind w:left="1300" w:right="60" w:firstLine="243"/>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Amendment</w:t>
      </w:r>
      <w:r>
        <w:rPr>
          <w:rFonts w:ascii="Times New Roman" w:cs="Times New Roman" w:eastAsia="Times New Roman" w:hAnsi="Times New Roman"/>
          <w:sz w:val="22"/>
          <w:szCs w:val="22"/>
          <w:color w:val="auto"/>
        </w:rPr>
        <w:t>” means Amendment No. 3 to Term Loan Credit and Guaranty Agreement, dated as of the Third Amendment Effective Date, among the Borrower, Parent, JPMorgan Chase Bank, N.A., as fronting lender thereunder, and the Administrative Agent, as administrative agent for the Lenders and on behalf of the Consenting Lenders (as defined therein).</w:t>
      </w:r>
    </w:p>
    <w:p>
      <w:pPr>
        <w:spacing w:after="0" w:line="200" w:lineRule="exact"/>
        <w:rPr>
          <w:sz w:val="20"/>
          <w:szCs w:val="20"/>
          <w:color w:val="auto"/>
        </w:rPr>
      </w:pPr>
    </w:p>
    <w:p>
      <w:pPr>
        <w:ind w:left="1300" w:right="500" w:firstLine="243"/>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Amendment Effective Date</w:t>
      </w:r>
      <w:r>
        <w:rPr>
          <w:rFonts w:ascii="Times New Roman" w:cs="Times New Roman" w:eastAsia="Times New Roman" w:hAnsi="Times New Roman"/>
          <w:sz w:val="22"/>
          <w:szCs w:val="22"/>
          <w:color w:val="auto"/>
        </w:rPr>
        <w:t>” means November 1, 2024, immediately after giving effect to the amendments and other transactions contemplated pursuant to the Third Amendment (subject to the terms and conditions thereof).</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 xml:space="preserve"> of the Loan Agreement shall be amended and restated in its entirety as follows:</w:t>
      </w:r>
    </w:p>
    <w:p>
      <w:pPr>
        <w:spacing w:after="0" w:line="247" w:lineRule="exact"/>
        <w:rPr>
          <w:sz w:val="20"/>
          <w:szCs w:val="20"/>
          <w:color w:val="auto"/>
        </w:rPr>
      </w:pPr>
    </w:p>
    <w:p>
      <w:pPr>
        <w:ind w:left="340" w:right="60"/>
        <w:spacing w:after="0"/>
        <w:rPr>
          <w:sz w:val="20"/>
          <w:szCs w:val="20"/>
          <w:color w:val="auto"/>
        </w:rPr>
      </w:pPr>
      <w:r>
        <w:rPr>
          <w:rFonts w:ascii="Times New Roman" w:cs="Times New Roman" w:eastAsia="Times New Roman" w:hAnsi="Times New Roman"/>
          <w:sz w:val="22"/>
          <w:szCs w:val="22"/>
          <w:color w:val="auto"/>
        </w:rPr>
        <w:t>“(c) In the event that, within the first six (6) months after the Third Amendment Effective Date, there shall occur any Repricing Event, the Borrower shall pay to the Administrative Agent, for the ratable account of each of the Term Lenders holding Class B Term Loans subject to such Repricing Event, an amount equal to 1.00% of the aggregate principal amount of the Class B Term Loans subject to such Repricing Event outstanding immediately prior to the effectiveness thereof unless such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603"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right="40"/>
        <w:spacing w:after="0" w:line="239" w:lineRule="auto"/>
        <w:rPr>
          <w:sz w:val="20"/>
          <w:szCs w:val="20"/>
          <w:color w:val="auto"/>
        </w:rPr>
      </w:pPr>
      <w:r>
        <w:rPr>
          <w:rFonts w:ascii="Times New Roman" w:cs="Times New Roman" w:eastAsia="Times New Roman" w:hAnsi="Times New Roman"/>
          <w:sz w:val="22"/>
          <w:szCs w:val="22"/>
          <w:color w:val="auto"/>
        </w:rPr>
        <w:t xml:space="preserve">is waived by the applicable Term Lender. Any Term Lender that is a non-consenting Lender in respect of a Repricing Event may be replaced in accordance with </w:t>
      </w:r>
      <w:r>
        <w:rPr>
          <w:rFonts w:ascii="Times New Roman" w:cs="Times New Roman" w:eastAsia="Times New Roman" w:hAnsi="Times New Roman"/>
          <w:sz w:val="22"/>
          <w:szCs w:val="22"/>
          <w:u w:val="single" w:color="auto"/>
          <w:color w:val="auto"/>
        </w:rPr>
        <w:t>Section 10.08(d)</w:t>
      </w:r>
      <w:r>
        <w:rPr>
          <w:rFonts w:ascii="Times New Roman" w:cs="Times New Roman" w:eastAsia="Times New Roman" w:hAnsi="Times New Roman"/>
          <w:sz w:val="22"/>
          <w:szCs w:val="22"/>
          <w:color w:val="auto"/>
        </w:rPr>
        <w:t xml:space="preserve"> to the extent permitted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replacement is within the first six months after the Third Amendment Effective Date, any such Term Lender so replaced shall be entitled to the prepayment premium set forth in the preceding sentence with respect to its Class B Term Loans so assigned unless such fee is waived by such Term Lender. No prepayment premium shall be payable at any time for any prepayment of Term Loans made by the Borrower pursuant to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xml:space="preserve"> so long as such prepayment (i) does not constitute a Repricing Event or (ii) occurs on or after the six-month anniversary of the Third Amendment Effective Date.”</w:t>
      </w:r>
    </w:p>
    <w:p>
      <w:pPr>
        <w:spacing w:after="0" w:line="221"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2 - Conditions to Effectiveness</w:t>
      </w:r>
      <w:r>
        <w:rPr>
          <w:rFonts w:ascii="Times New Roman" w:cs="Times New Roman" w:eastAsia="Times New Roman" w:hAnsi="Times New Roman"/>
          <w:sz w:val="22"/>
          <w:szCs w:val="22"/>
          <w:color w:val="auto"/>
        </w:rPr>
        <w:t>. This Amendment shall become effective on the date when each of the following conditions specified below shall have been satisfied (the “</w:t>
      </w:r>
      <w:r>
        <w:rPr>
          <w:rFonts w:ascii="Times New Roman" w:cs="Times New Roman" w:eastAsia="Times New Roman" w:hAnsi="Times New Roman"/>
          <w:sz w:val="22"/>
          <w:szCs w:val="22"/>
          <w:u w:val="single" w:color="auto"/>
          <w:color w:val="auto"/>
        </w:rPr>
        <w:t>Third Amendment Effective Date</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right="600" w:firstLine="332"/>
        <w:spacing w:after="0" w:line="282" w:lineRule="auto"/>
        <w:tabs>
          <w:tab w:leader="none" w:pos="582"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the Borrower shall have received a signed signature page to this Amendment from the Borrower, Parent, the Fronting Lender, and the Administrative Agent and a signed consent from each Consenting Lender;</w:t>
      </w:r>
    </w:p>
    <w:p>
      <w:pPr>
        <w:spacing w:after="0" w:line="161" w:lineRule="exact"/>
        <w:rPr>
          <w:rFonts w:ascii="Times New Roman" w:cs="Times New Roman" w:eastAsia="Times New Roman" w:hAnsi="Times New Roman"/>
          <w:sz w:val="21"/>
          <w:szCs w:val="21"/>
          <w:color w:val="auto"/>
        </w:rPr>
      </w:pPr>
    </w:p>
    <w:p>
      <w:pPr>
        <w:ind w:right="140" w:firstLine="332"/>
        <w:spacing w:after="0" w:line="271" w:lineRule="auto"/>
        <w:tabs>
          <w:tab w:leader="none" w:pos="64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with respect to the Borrower and the Parent a certificate of the Secretary of State of the state of Delaware, dated as of a recent date, as to its good standing;</w:t>
      </w:r>
    </w:p>
    <w:p>
      <w:pPr>
        <w:spacing w:after="0" w:line="171" w:lineRule="exact"/>
        <w:rPr>
          <w:rFonts w:ascii="Times New Roman" w:cs="Times New Roman" w:eastAsia="Times New Roman" w:hAnsi="Times New Roman"/>
          <w:sz w:val="22"/>
          <w:szCs w:val="22"/>
          <w:color w:val="auto"/>
        </w:rPr>
      </w:pPr>
    </w:p>
    <w:p>
      <w:pPr>
        <w:ind w:right="40" w:firstLine="332"/>
        <w:spacing w:after="0" w:line="250" w:lineRule="auto"/>
        <w:tabs>
          <w:tab w:leader="none" w:pos="70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of the Secretary or an Assistant Secretary (or similar officer) of each of the Borrower and the Parent dated the date hereof and certifying as to the incumbency and specimen signature of each officer of that entity executing this Amendment or any other document delivered by it in connection herewith;</w:t>
      </w:r>
    </w:p>
    <w:p>
      <w:pPr>
        <w:spacing w:after="0" w:line="194" w:lineRule="exact"/>
        <w:rPr>
          <w:rFonts w:ascii="Times New Roman" w:cs="Times New Roman" w:eastAsia="Times New Roman" w:hAnsi="Times New Roman"/>
          <w:sz w:val="22"/>
          <w:szCs w:val="22"/>
          <w:color w:val="auto"/>
        </w:rPr>
      </w:pPr>
    </w:p>
    <w:p>
      <w:pPr>
        <w:ind w:right="240" w:firstLine="332"/>
        <w:spacing w:after="0" w:line="258" w:lineRule="auto"/>
        <w:tabs>
          <w:tab w:leader="none" w:pos="69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have paid to the Administrative Agent for the benefit of itself and the Consenting Lenders the then-unpaid balance of all accrued and unpaid fees due, owing and payable by the Borrower to them in connection with this Amendment, as agreed to by the Borrower, and the reasonable attorneys’ fees of Milbank LLP as counsel to the Administrative Agent and to the Fronting Lender incurred in connection with the preparation, execution and delivery of this Amendment as to which the Borrower shall have received an invoice at least one Business Day prior to the Third Amendment Effective Date;</w:t>
      </w:r>
    </w:p>
    <w:p>
      <w:pPr>
        <w:spacing w:after="0" w:line="187" w:lineRule="exact"/>
        <w:rPr>
          <w:rFonts w:ascii="Times New Roman" w:cs="Times New Roman" w:eastAsia="Times New Roman" w:hAnsi="Times New Roman"/>
          <w:sz w:val="21"/>
          <w:szCs w:val="21"/>
          <w:color w:val="auto"/>
        </w:rPr>
      </w:pPr>
    </w:p>
    <w:p>
      <w:pPr>
        <w:ind w:right="100" w:firstLine="332"/>
        <w:spacing w:after="0" w:line="243" w:lineRule="auto"/>
        <w:tabs>
          <w:tab w:leader="none" w:pos="63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an Officer’s Certificate from the Borrower certifying as to the truth in all material respects of the representations and warranties set forth in Section 3 of this Amendment as though made by it on the date hereof after giving effect to this Amendment, except to the extent that any such representation or warranty relates to a specified date, in which case as of such date; provided, that any representation or warranty that is qualified by materiality, “Material Adverse Change” or “Material Adverse Effect” shall be true and correct in all respects as of the applicable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603"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398" w:lineRule="exact"/>
        <w:rPr>
          <w:sz w:val="20"/>
          <w:szCs w:val="20"/>
          <w:color w:val="auto"/>
        </w:rPr>
      </w:pPr>
    </w:p>
    <w:p>
      <w:pPr>
        <w:ind w:right="260" w:firstLine="332"/>
        <w:spacing w:after="0" w:line="258" w:lineRule="auto"/>
        <w:tabs>
          <w:tab w:leader="none" w:pos="69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accrued on the Term Loans that has not yet been paid by the Borrower to the Administrative Agent as of the Third Amendment Effective Date shall have been paid in full; and</w:t>
      </w:r>
    </w:p>
    <w:p>
      <w:pPr>
        <w:spacing w:after="0" w:line="198" w:lineRule="exact"/>
        <w:rPr>
          <w:rFonts w:ascii="Times New Roman" w:cs="Times New Roman" w:eastAsia="Times New Roman" w:hAnsi="Times New Roman"/>
          <w:sz w:val="22"/>
          <w:szCs w:val="22"/>
          <w:color w:val="auto"/>
        </w:rPr>
      </w:pPr>
    </w:p>
    <w:p>
      <w:pPr>
        <w:ind w:firstLine="332"/>
        <w:spacing w:after="0" w:line="239" w:lineRule="auto"/>
        <w:tabs>
          <w:tab w:leader="none" w:pos="75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owing to the Non-Consenting Lenders pursuant to Section 2.15 (Break Funding Payments) of the Loan Agreement in connection with the repayment of their Refinanced Term Loans pursuant to this Amendment shall have been paid by the Borrower to the Administrative Agent for the account of each such Non-Consenting Lender, subject in the case of each Non-Consenting Lender to its giving the Borrower a written certificate setting forth any such amount due to it at least one Business Day prior to the Third Amendment Effective Date; provided that failure to deliver such certificate prior to such time shall not impact a Non-Consenting Lender’s rights under Section 2.15 (Break Funding Payments), but such payment (if any) shall not be a condition precedent to the Third Amendment Effective Date.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The Administrative Agent shall promptly notify the parties hereto of the occurrence of the Third Amendment Effective Date.</w:t>
      </w:r>
    </w:p>
    <w:p>
      <w:pPr>
        <w:spacing w:after="0" w:line="24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21"/>
          <w:szCs w:val="21"/>
          <w:u w:val="single" w:color="auto"/>
          <w:color w:val="auto"/>
        </w:rPr>
        <w:t>SECTION - 3 Representations and Warranties</w:t>
      </w:r>
      <w:r>
        <w:rPr>
          <w:rFonts w:ascii="Times New Roman" w:cs="Times New Roman" w:eastAsia="Times New Roman" w:hAnsi="Times New Roman"/>
          <w:sz w:val="21"/>
          <w:szCs w:val="21"/>
          <w:color w:val="auto"/>
        </w:rPr>
        <w:t>. In order to induce the Consenting Lenders and the Administrative Agent to enter into this Amendment, the Borrower represents and warrants to each of the Consenting Lenders and the Administrative Agent that on and as of the date hereof after giving effect to this Amendment, (i) no Event of Default has occurred and is continuing or would result from giving effect to this Amendment and (ii) the representations and warranties contained in the Loan Agreement and the other Loan Documents (other than the representations and warranties set forth in Sections 3.05(b), 3.06 and</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3.09(a) of the Loan Agreement), are true and correct in all material respects on and as of the date hereof with the same effect as if made on and as of the date hereof except to the extent that such representations and warranties expressly relate to an earlier date and in such case as of such date; provided that any representation or warranty that is qualified by materiality, “Material Adverse Change” or “Material Adverse Effect” shall be true and correct in all respects, as though made on and as of the applicable date.</w:t>
      </w:r>
    </w:p>
    <w:p>
      <w:pPr>
        <w:spacing w:after="0" w:line="194"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4 - Reference to and Effect on the Loan Agreement; Ratification</w:t>
      </w:r>
      <w:r>
        <w:rPr>
          <w:rFonts w:ascii="Times New Roman" w:cs="Times New Roman" w:eastAsia="Times New Roman" w:hAnsi="Times New Roman"/>
          <w:sz w:val="22"/>
          <w:szCs w:val="22"/>
          <w:color w:val="auto"/>
        </w:rPr>
        <w:t xml:space="preserve">. At and after the effectiveness of this Amendment, each reference in the Loan Agreement to “this Agreement,” “hereunder,” “hereof” or words of like import referring to the Loan Agreement, shall mean and be a reference to the Loan Agreement, as amended by this Amendment. The Loan Agreement and each of the other Loan Documents, as specifically amended by this Amendment, and the obligations of the Borrower hereunder and thereunder, are and shall continue to be in full force and effect and are hereby in all respects ratified and confirmed. The parties hereto confirm and agree that the guaranty under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the Loan Agreement shall continue in full force and effect after giving effect to this Amendment, and the term “Obligations” as used in the Loan Agreement shall include all obligations of the Borrower under the Loan Agreement, as amended by this Amendment. This Amendment shall be deemed to be a “Loan Document” for all purposes of the Loan Agreement and the other Loan Documents. The execution, delivery and effectiveness of this Amendment shall not, except as expressly provided herein, operate as an amendment or waiver of any right, power or remedy of any Lender or the Administrative Agent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603"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any of the Loan Documents, nor constitute an amendment or waiver of any provision of any of the Loan Documents.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1"/>
          <w:szCs w:val="21"/>
          <w:u w:val="single" w:color="auto"/>
          <w:color w:val="auto"/>
        </w:rPr>
        <w:t>SECTION 5 - Execution in Counterparts</w:t>
      </w:r>
      <w:r>
        <w:rPr>
          <w:rFonts w:ascii="Times New Roman" w:cs="Times New Roman" w:eastAsia="Times New Roman" w:hAnsi="Times New Roman"/>
          <w:sz w:val="21"/>
          <w:szCs w:val="21"/>
          <w:color w:val="auto"/>
        </w:rPr>
        <w:t xml:space="preserve">. This Amendment may be executed in counterparts (and by different parties hereto on different counterparts), each of which shall constitute an original, but all of which when taken together shall constitute a single contract. The execution and delivery of a consent to this Amendment by each Consenting Lender shall be irrevocable and shall be binding upon such Consenting Lender’s successors, transferees and assigns. This Amendment shall become effective as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and from and after the Third Amendment Effective Date shall be binding upon and inure to the benefit of the parties hereto and their respective successors, transferees and assigns. Delivery of an executed counterpart of a signature page of (x) this Amendment or of a consent to this Amendment, and/or (y) any document, amendment, approval, consent, information, notice, certificate, request, statement, disclosure or authorization related to this Amendment and/or the transactions contemplated 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that is an electronic signature transmitted by telecopy, emailed pdf. or any other electronic means that reproduces an image of an actual executed signature page shall be effective as delivery of a manually executed counterpart of this Amendment, such consent or such Ancillary Document, as applicable. The words “execution,” “signed,” “signature,” “delivery,” and words of like import in or relating to this Amendment, a consent to this Amendment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without limiting the foregoing, (A) the Administrative Agent and each of the Lenders shall be entitled to rely on such electronic signature purportedly given by or on behalf of the Borrower or the Guarantors without further verification thereof and without any obligation to review the appearance or form of any such electronic signature and (B) upon the request of the Administrative Agent or any Lender, any electronic signature shall be promptly followed by a manually executed counterpart. Without limiting the generality of the foregoing, the Borrower and each Guarantor hereby agrees that, for all purposes, including without limitation, in connection with any workout, restructuring, enforcement of remedies, bankruptcy proceedings or litigation among the Administrative Agent, the Lenders, and the Borrower and each Guarantor, electronic signatures transmitted by telecopy, emailed pdf. or any other electronic means that reproduces an image of an actual executed signature page and/or any electronic images of this Amendment, a consent to this Amendment and/or any Ancillary Document shall have the same legal effect, validity and enforceability as any paper original, the Administrative Agent and each of the Lenders may, at its option, create one or more copies of this Amendment, a consent to this Amendment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waives any argument, defense or right to contest the legal effect, validity or enforceability of this Amendment, a consent to this Amendment and/or any Ancillary Document based solely on the lack of paper original copies of this Amendment, a consent to this Amendment and/or any Ancillary Document and waives any claim against any Lender-related Person for any liabilities arising solely from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603"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3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 each Guarantor to use any available security measures in connection with the execution, delivery or transmission of any electronic signature.</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6 - Governing Law</w:t>
      </w:r>
      <w:r>
        <w:rPr>
          <w:rFonts w:ascii="Times New Roman" w:cs="Times New Roman" w:eastAsia="Times New Roman" w:hAnsi="Times New Roman"/>
          <w:sz w:val="22"/>
          <w:szCs w:val="22"/>
          <w:color w:val="auto"/>
        </w:rPr>
        <w:t>. THIS AMENDMENT AND THE RIGHTS AND OBLIGATIONS OF THE PARTIES UNDER THIS AMENDMENT SHALL BE GOVERNED BY, AND CONSTRUED AND INTERPRETED IN ACCORDANCE WITH, THE LAW OF THE STATE OF NEW YORK.</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7 - Refinancing of Non-Consenting Lender Term Loans; Assignments of Certain Lenders</w:t>
      </w:r>
      <w:r>
        <w:rPr>
          <w:rFonts w:ascii="Times New Roman" w:cs="Times New Roman" w:eastAsia="Times New Roman" w:hAnsi="Times New Roman"/>
          <w:sz w:val="22"/>
          <w:szCs w:val="22"/>
          <w:color w:val="auto"/>
        </w:rPr>
        <w:t xml:space="preserve">. Subject to the satisfaction of the conditions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effective as of the Third Amendment Effective Date:</w:t>
      </w:r>
    </w:p>
    <w:p>
      <w:pPr>
        <w:spacing w:after="0" w:line="185" w:lineRule="exact"/>
        <w:rPr>
          <w:sz w:val="20"/>
          <w:szCs w:val="20"/>
          <w:color w:val="auto"/>
        </w:rPr>
      </w:pPr>
    </w:p>
    <w:p>
      <w:pPr>
        <w:jc w:val="both"/>
        <w:ind w:firstLine="656"/>
        <w:spacing w:after="0" w:line="236" w:lineRule="auto"/>
        <w:tabs>
          <w:tab w:leader="none" w:pos="96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outstanding Refinanced Term Loans of each Non-Consenting Lender shall, pursuant to </w:t>
      </w:r>
      <w:r>
        <w:rPr>
          <w:rFonts w:ascii="Times New Roman" w:cs="Times New Roman" w:eastAsia="Times New Roman" w:hAnsi="Times New Roman"/>
          <w:sz w:val="22"/>
          <w:szCs w:val="22"/>
          <w:u w:val="single" w:color="auto"/>
          <w:color w:val="auto"/>
        </w:rPr>
        <w:t>Section 10.08(e)</w:t>
      </w:r>
      <w:r>
        <w:rPr>
          <w:rFonts w:ascii="Times New Roman" w:cs="Times New Roman" w:eastAsia="Times New Roman" w:hAnsi="Times New Roman"/>
          <w:sz w:val="22"/>
          <w:szCs w:val="22"/>
          <w:color w:val="auto"/>
        </w:rPr>
        <w:t xml:space="preserve"> of the Loan Agreement, be repaid, on behalf of the Borrower by payment from the Fronting Lender of an amount equal to the outstanding principal amount of, and accrued and unpaid interest on all of such Refinanced Term Loans, and all of such Non-Consenting Lender’s existing Refinanced Term Loans shall be deemed refinanced by new Class B Term Loans held by the Fronting Lender in an amount corresponding to the amount of existing Refinanced Term Loans held by such Non-Consenting Lender,</w:t>
      </w:r>
    </w:p>
    <w:p>
      <w:pPr>
        <w:spacing w:after="0" w:line="208" w:lineRule="exact"/>
        <w:rPr>
          <w:rFonts w:ascii="Times New Roman" w:cs="Times New Roman" w:eastAsia="Times New Roman" w:hAnsi="Times New Roman"/>
          <w:sz w:val="22"/>
          <w:szCs w:val="22"/>
          <w:color w:val="auto"/>
        </w:rPr>
      </w:pPr>
    </w:p>
    <w:p>
      <w:pPr>
        <w:jc w:val="both"/>
        <w:ind w:firstLine="656"/>
        <w:spacing w:after="0" w:line="238" w:lineRule="auto"/>
        <w:tabs>
          <w:tab w:leader="none" w:pos="95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Consenting Lender will hold new Class B Term Loans, in a principal amount equal to its Refinanced Term Loans or greater amount as agreed between such Consenting Lender and the Fronting Lender, subject to the amended terms described in this Amendment,</w:t>
      </w:r>
    </w:p>
    <w:p>
      <w:pPr>
        <w:spacing w:after="0" w:line="205" w:lineRule="exact"/>
        <w:rPr>
          <w:rFonts w:ascii="Times New Roman" w:cs="Times New Roman" w:eastAsia="Times New Roman" w:hAnsi="Times New Roman"/>
          <w:sz w:val="22"/>
          <w:szCs w:val="22"/>
          <w:color w:val="auto"/>
        </w:rPr>
      </w:pPr>
    </w:p>
    <w:p>
      <w:pPr>
        <w:jc w:val="both"/>
        <w:ind w:firstLine="656"/>
        <w:spacing w:after="0" w:line="238" w:lineRule="auto"/>
        <w:tabs>
          <w:tab w:leader="none" w:pos="94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Replacement Term Loans shall be deemed the Class B Term Loans and replace the Refinanced Term Loans, and all Replacement Term Loans shall be subject to the same Interest Period as the Refinanced Term Loans in existence immediately prior to the Third Amendment Effective Date, and shall continue to accrue interest in accordance with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of the Loan Agreement on and after the Third Amendment Effective Date at the same interest rate, except for the change in the Applicable Margin pursuant to this Amendment effective on the Third Amendment Effective Date, and</w:t>
      </w:r>
    </w:p>
    <w:p>
      <w:pPr>
        <w:spacing w:after="0" w:line="203" w:lineRule="exact"/>
        <w:rPr>
          <w:rFonts w:ascii="Times New Roman" w:cs="Times New Roman" w:eastAsia="Times New Roman" w:hAnsi="Times New Roman"/>
          <w:sz w:val="22"/>
          <w:szCs w:val="22"/>
          <w:color w:val="auto"/>
        </w:rPr>
      </w:pPr>
    </w:p>
    <w:p>
      <w:pPr>
        <w:ind w:firstLine="656"/>
        <w:spacing w:after="0" w:line="258" w:lineRule="auto"/>
        <w:tabs>
          <w:tab w:leader="none" w:pos="96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Fronting Lender shall advance a Replacement Term Loan in a principal amount equal to the principal amount of Refinanced Term Loans required to be paid by the Fronting Lender pursuant to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603"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as of the day and year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JPMORGAN CHASE BANK, N.A., as</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James Shender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1201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3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James Shender</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ectPr>
          <w:pgSz w:w="11900" w:h="16838" w:orient="portrait"/>
          <w:cols w:equalWidth="0" w:num="1">
            <w:col w:w="11240"/>
          </w:cols>
          <w:pgMar w:left="320" w:top="603"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JPMORGAN CHASE BANK, N.A., as Fronting</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Lender</w:t>
      </w:r>
    </w:p>
    <w:p>
      <w:pPr>
        <w:spacing w:after="0" w:line="19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James Shender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201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4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James Shender</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ectPr>
          <w:pgSz w:w="11900" w:h="16838" w:orient="portrait"/>
          <w:cols w:equalWidth="0" w:num="1">
            <w:col w:w="10120"/>
          </w:cols>
          <w:pgMar w:left="1440" w:top="603"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00" w:lineRule="exact"/>
        <w:rPr>
          <w:sz w:val="20"/>
          <w:szCs w:val="20"/>
          <w:color w:val="auto"/>
        </w:rPr>
      </w:pPr>
    </w:p>
    <w:p>
      <w:pPr>
        <w:spacing w:after="0" w:line="290" w:lineRule="exact"/>
        <w:rPr>
          <w:sz w:val="20"/>
          <w:szCs w:val="20"/>
          <w:color w:val="auto"/>
        </w:rPr>
      </w:pPr>
    </w:p>
    <w:p>
      <w:pPr>
        <w:jc w:val="right"/>
        <w:ind w:right="5360"/>
        <w:spacing w:after="0"/>
        <w:tabs>
          <w:tab w:leader="none" w:pos="6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 Eric Harder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203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41">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8"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22"/>
          <w:szCs w:val="22"/>
          <w:color w:val="auto"/>
        </w:rPr>
        <w:t>Name: J. Eric Harder</w:t>
      </w:r>
    </w:p>
    <w:p>
      <w:pPr>
        <w:spacing w:after="0" w:line="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ectPr>
          <w:pgSz w:w="11900" w:h="16838" w:orient="portrait"/>
          <w:cols w:equalWidth="0" w:num="1">
            <w:col w:w="10120"/>
          </w:cols>
          <w:pgMar w:left="1440" w:top="603"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UNITED AIRLINES HOLDINGS, INC.</w:t>
      </w:r>
    </w:p>
    <w:p>
      <w:pPr>
        <w:spacing w:after="0" w:line="200" w:lineRule="exact"/>
        <w:rPr>
          <w:sz w:val="20"/>
          <w:szCs w:val="20"/>
          <w:color w:val="auto"/>
        </w:rPr>
      </w:pPr>
    </w:p>
    <w:p>
      <w:pPr>
        <w:spacing w:after="0" w:line="290" w:lineRule="exact"/>
        <w:rPr>
          <w:sz w:val="20"/>
          <w:szCs w:val="20"/>
          <w:color w:val="auto"/>
        </w:rPr>
      </w:pPr>
    </w:p>
    <w:p>
      <w:pPr>
        <w:jc w:val="right"/>
        <w:ind w:right="5000"/>
        <w:spacing w:after="0"/>
        <w:tabs>
          <w:tab w:leader="none" w:pos="6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249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42">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8" w:lineRule="exact"/>
        <w:rPr>
          <w:sz w:val="20"/>
          <w:szCs w:val="20"/>
          <w:color w:val="auto"/>
        </w:rPr>
      </w:pPr>
    </w:p>
    <w:p>
      <w:pPr>
        <w:jc w:val="right"/>
        <w:ind w:right="4940"/>
        <w:spacing w:after="0"/>
        <w:rPr>
          <w:sz w:val="20"/>
          <w:szCs w:val="20"/>
          <w:color w:val="auto"/>
        </w:rPr>
      </w:pPr>
      <w:r>
        <w:rPr>
          <w:rFonts w:ascii="Times New Roman" w:cs="Times New Roman" w:eastAsia="Times New Roman" w:hAnsi="Times New Roman"/>
          <w:sz w:val="22"/>
          <w:szCs w:val="22"/>
          <w:color w:val="auto"/>
        </w:rPr>
        <w:t>Name: Michael Leskinen</w:t>
      </w:r>
    </w:p>
    <w:p>
      <w:pPr>
        <w:spacing w:after="0" w:line="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Title: 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UAL 2024 - SRG Term Loan Amendment No. 3</w:t>
      </w:r>
    </w:p>
    <w:p>
      <w:pPr>
        <w:sectPr>
          <w:pgSz w:w="11900" w:h="16838" w:orient="portrait"/>
          <w:cols w:equalWidth="0" w:num="1">
            <w:col w:w="10120"/>
          </w:cols>
          <w:pgMar w:left="1440" w:top="603"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10.118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22"/>
          <w:szCs w:val="22"/>
          <w:b w:val="1"/>
          <w:bCs w:val="1"/>
          <w:u w:val="single" w:color="auto"/>
          <w:color w:val="auto"/>
        </w:rPr>
        <w:t>EXECUTION VERSION</w:t>
      </w:r>
    </w:p>
    <w:p>
      <w:pPr>
        <w:spacing w:after="0" w:line="22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AMENDMENT NO. 4 TO TERM LOAN CREDIT AND GUARANTY AGREEMENT</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AMENDMENT NO. 4 TO TERM LOAN CREDIT AND GUARANTY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February 3, 2026 among UNITED AIRLINES,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UNITED AIRLINES HOLDINGS, INC.,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JPMORGAN CHASE BANK, N.A., as Fronting Lender (as defined below), and JPMORGAN CHASE BANK, N.A., as administrative agent for the Lenders party to the Loan Agreement referred to below (together with its permitted successors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on behalf of the Consenting Lenders (as defined below) executing consents to this Amendment. Unless otherwise indicated, all capitalized terms used herein and not otherwise defined shall have the respective meanings provided such terms in the Loan Agreement referred to below (as amended by this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p>
    <w:p>
      <w:pPr>
        <w:spacing w:after="0" w:line="220" w:lineRule="exact"/>
        <w:rPr>
          <w:sz w:val="20"/>
          <w:szCs w:val="20"/>
          <w:color w:val="auto"/>
        </w:rPr>
      </w:pPr>
    </w:p>
    <w:p>
      <w:pPr>
        <w:jc w:val="both"/>
        <w:ind w:firstLine="1295"/>
        <w:spacing w:after="0" w:line="253" w:lineRule="auto"/>
        <w:rPr>
          <w:sz w:val="20"/>
          <w:szCs w:val="20"/>
          <w:color w:val="auto"/>
        </w:rPr>
      </w:pPr>
      <w:r>
        <w:rPr>
          <w:rFonts w:ascii="Times New Roman" w:cs="Times New Roman" w:eastAsia="Times New Roman" w:hAnsi="Times New Roman"/>
          <w:sz w:val="22"/>
          <w:szCs w:val="22"/>
          <w:color w:val="auto"/>
        </w:rPr>
        <w:t>WHEREAS, the Borrower, Parent and certain of its subsidiaries other than the Borrower from time to time, as guarantors, the Lenders and the Administrative Agent are parties to a Term Loan Credit and Guaranty Agreement dated as of April 21, 2021 (as amended by that certain Amendment No. 1 dated June 29, 2023, by that certain Amendment No. 2 dated February 22, 2024, and by that certain Amendment No. 3 dated November 1, 2024, and as further amended, modified and supplemented and in effect on the date hereof,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Borrower has requested to amend certain terms of the Loan Agreement as hereinafter set forth;</w:t>
      </w:r>
    </w:p>
    <w:p>
      <w:pPr>
        <w:spacing w:after="0" w:line="220" w:lineRule="exact"/>
        <w:rPr>
          <w:sz w:val="20"/>
          <w:szCs w:val="20"/>
          <w:color w:val="auto"/>
        </w:rPr>
      </w:pPr>
    </w:p>
    <w:p>
      <w:pPr>
        <w:jc w:val="both"/>
        <w:ind w:firstLine="1295"/>
        <w:spacing w:after="0" w:line="263" w:lineRule="auto"/>
        <w:rPr>
          <w:sz w:val="20"/>
          <w:szCs w:val="20"/>
          <w:color w:val="auto"/>
        </w:rPr>
      </w:pPr>
      <w:r>
        <w:rPr>
          <w:rFonts w:ascii="Times New Roman" w:cs="Times New Roman" w:eastAsia="Times New Roman" w:hAnsi="Times New Roman"/>
          <w:sz w:val="21"/>
          <w:szCs w:val="21"/>
          <w:color w:val="auto"/>
        </w:rPr>
        <w:t>WHEREAS, with respect to the Term Lenders holding any Term Loans outstanding immediately prior to the Fourth Amendment Effective Date (as defined below) (such Term Loans, the “</w:t>
      </w:r>
      <w:r>
        <w:rPr>
          <w:rFonts w:ascii="Times New Roman" w:cs="Times New Roman" w:eastAsia="Times New Roman" w:hAnsi="Times New Roman"/>
          <w:sz w:val="21"/>
          <w:szCs w:val="21"/>
          <w:u w:val="single" w:color="auto"/>
          <w:color w:val="auto"/>
        </w:rPr>
        <w:t>Refinanced Term Loans</w:t>
      </w:r>
      <w:r>
        <w:rPr>
          <w:rFonts w:ascii="Times New Roman" w:cs="Times New Roman" w:eastAsia="Times New Roman" w:hAnsi="Times New Roman"/>
          <w:sz w:val="21"/>
          <w:szCs w:val="21"/>
          <w:color w:val="auto"/>
        </w:rPr>
        <w:t>”) whose executed consent to this Amendment has not been received by the Administrative Agent on or prior to a deadline (the “</w:t>
      </w:r>
      <w:r>
        <w:rPr>
          <w:rFonts w:ascii="Times New Roman" w:cs="Times New Roman" w:eastAsia="Times New Roman" w:hAnsi="Times New Roman"/>
          <w:sz w:val="21"/>
          <w:szCs w:val="21"/>
          <w:u w:val="single" w:color="auto"/>
          <w:color w:val="auto"/>
        </w:rPr>
        <w:t>Non-Consenting Lenders</w:t>
      </w:r>
      <w:r>
        <w:rPr>
          <w:rFonts w:ascii="Times New Roman" w:cs="Times New Roman" w:eastAsia="Times New Roman" w:hAnsi="Times New Roman"/>
          <w:sz w:val="21"/>
          <w:szCs w:val="21"/>
          <w:color w:val="auto"/>
        </w:rPr>
        <w:t>”; the Term Lenders that are not the Non-Consenting Lenders (including the “Fronting Lender” as defined below) are hereinafter referred to as the “</w:t>
      </w:r>
      <w:r>
        <w:rPr>
          <w:rFonts w:ascii="Times New Roman" w:cs="Times New Roman" w:eastAsia="Times New Roman" w:hAnsi="Times New Roman"/>
          <w:sz w:val="21"/>
          <w:szCs w:val="21"/>
          <w:u w:val="single" w:color="auto"/>
          <w:color w:val="auto"/>
        </w:rPr>
        <w:t>Consenting Lenders</w:t>
      </w:r>
      <w:r>
        <w:rPr>
          <w:rFonts w:ascii="Times New Roman" w:cs="Times New Roman" w:eastAsia="Times New Roman" w:hAnsi="Times New Roman"/>
          <w:sz w:val="21"/>
          <w:szCs w:val="21"/>
          <w:color w:val="auto"/>
        </w:rPr>
        <w:t>”) as agreed between the Borrower and the Administrative Agent and announced by the Administrative Agent to the Term Lenders (the “</w:t>
      </w:r>
      <w:r>
        <w:rPr>
          <w:rFonts w:ascii="Times New Roman" w:cs="Times New Roman" w:eastAsia="Times New Roman" w:hAnsi="Times New Roman"/>
          <w:sz w:val="21"/>
          <w:szCs w:val="21"/>
          <w:u w:val="single" w:color="auto"/>
          <w:color w:val="auto"/>
        </w:rPr>
        <w:t>Consent Deadline</w:t>
      </w:r>
      <w:r>
        <w:rPr>
          <w:rFonts w:ascii="Times New Roman" w:cs="Times New Roman" w:eastAsia="Times New Roman" w:hAnsi="Times New Roman"/>
          <w:sz w:val="21"/>
          <w:szCs w:val="21"/>
          <w:color w:val="auto"/>
        </w:rPr>
        <w:t xml:space="preserve">”), the Borrower hereby gives notice to each Non-Consenting Lender, pursuant to </w:t>
      </w:r>
      <w:r>
        <w:rPr>
          <w:rFonts w:ascii="Times New Roman" w:cs="Times New Roman" w:eastAsia="Times New Roman" w:hAnsi="Times New Roman"/>
          <w:sz w:val="21"/>
          <w:szCs w:val="21"/>
          <w:u w:val="single" w:color="auto"/>
          <w:color w:val="auto"/>
        </w:rPr>
        <w:t>Section 10.08(e)</w:t>
      </w:r>
      <w:r>
        <w:rPr>
          <w:rFonts w:ascii="Times New Roman" w:cs="Times New Roman" w:eastAsia="Times New Roman" w:hAnsi="Times New Roman"/>
          <w:sz w:val="21"/>
          <w:szCs w:val="21"/>
          <w:color w:val="auto"/>
        </w:rPr>
        <w:t xml:space="preserve"> of the Loan Agreement, that upon the Fourth Amendment Effective Date, the principal amount of its Refinanced Term Loans will be repaid in full on behalf of the Borrower by the Administrative Agent or JPMorgan Chase Bank, N.A., as Fronting Lender (the “</w:t>
      </w:r>
      <w:r>
        <w:rPr>
          <w:rFonts w:ascii="Times New Roman" w:cs="Times New Roman" w:eastAsia="Times New Roman" w:hAnsi="Times New Roman"/>
          <w:sz w:val="21"/>
          <w:szCs w:val="21"/>
          <w:u w:val="single" w:color="auto"/>
          <w:color w:val="auto"/>
        </w:rPr>
        <w:t>Fronting Lender</w:t>
      </w:r>
      <w:r>
        <w:rPr>
          <w:rFonts w:ascii="Times New Roman" w:cs="Times New Roman" w:eastAsia="Times New Roman" w:hAnsi="Times New Roman"/>
          <w:sz w:val="21"/>
          <w:szCs w:val="21"/>
          <w:color w:val="auto"/>
        </w:rPr>
        <w:t>”), together with all accrued and unpaid interest thereon;</w:t>
      </w:r>
    </w:p>
    <w:p>
      <w:pPr>
        <w:spacing w:after="0" w:line="170" w:lineRule="exact"/>
        <w:rPr>
          <w:sz w:val="20"/>
          <w:szCs w:val="20"/>
          <w:color w:val="auto"/>
        </w:rPr>
      </w:pPr>
    </w:p>
    <w:p>
      <w:pPr>
        <w:jc w:val="both"/>
        <w:ind w:right="20" w:firstLine="1295"/>
        <w:spacing w:after="0" w:line="271" w:lineRule="auto"/>
        <w:rPr>
          <w:sz w:val="20"/>
          <w:szCs w:val="20"/>
          <w:color w:val="auto"/>
        </w:rPr>
      </w:pPr>
      <w:r>
        <w:rPr>
          <w:rFonts w:ascii="Times New Roman" w:cs="Times New Roman" w:eastAsia="Times New Roman" w:hAnsi="Times New Roman"/>
          <w:sz w:val="22"/>
          <w:szCs w:val="22"/>
          <w:color w:val="auto"/>
        </w:rPr>
        <w:t>WHEREAS, on the Fourth Amendment Effective Date, the Refinanced Term Loans held by the Consenting Lenders and Fronting Lender shall be converted to new Class B Term Loans (the “</w:t>
      </w:r>
      <w:r>
        <w:rPr>
          <w:rFonts w:ascii="Times New Roman" w:cs="Times New Roman" w:eastAsia="Times New Roman" w:hAnsi="Times New Roman"/>
          <w:sz w:val="22"/>
          <w:szCs w:val="22"/>
          <w:u w:val="single" w:color="auto"/>
          <w:color w:val="auto"/>
        </w:rPr>
        <w:t>Replacement Term Loans</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UAL SRG Term Loan Amendment No. 4</w:t>
      </w:r>
    </w:p>
    <w:p>
      <w:pPr>
        <w:sectPr>
          <w:pgSz w:w="11900" w:h="16838" w:orient="portrait"/>
          <w:cols w:equalWidth="0" w:num="1">
            <w:col w:w="11240"/>
          </w:cols>
          <w:pgMar w:left="320" w:top="117" w:right="339" w:bottom="1440" w:gutter="0" w:footer="0" w:header="0"/>
        </w:sectPr>
      </w:pPr>
    </w:p>
    <w:bookmarkStart w:id="213" w:name="page214"/>
    <w:bookmarkEnd w:id="213"/>
    <w:p>
      <w:pPr>
        <w:ind w:right="20" w:firstLine="1295"/>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SECTION 1 - Loan Agreement Amendments</w:t>
      </w:r>
      <w:r>
        <w:rPr>
          <w:rFonts w:ascii="Times New Roman" w:cs="Times New Roman" w:eastAsia="Times New Roman" w:hAnsi="Times New Roman"/>
          <w:sz w:val="22"/>
          <w:szCs w:val="22"/>
          <w:color w:val="auto"/>
        </w:rPr>
        <w:t xml:space="preserve">. Subject to the satisfaction of the conditions set forth in </w:t>
      </w:r>
      <w:r>
        <w:rPr>
          <w:rFonts w:ascii="Times New Roman" w:cs="Times New Roman" w:eastAsia="Times New Roman" w:hAnsi="Times New Roman"/>
          <w:sz w:val="22"/>
          <w:szCs w:val="22"/>
          <w:u w:val="single" w:color="auto"/>
          <w:color w:val="auto"/>
        </w:rPr>
        <w:t>Section 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207" w:lineRule="exact"/>
        <w:rPr>
          <w:sz w:val="20"/>
          <w:szCs w:val="20"/>
          <w:color w:val="auto"/>
        </w:rPr>
      </w:pPr>
    </w:p>
    <w:p>
      <w:pPr>
        <w:ind w:firstLine="1304"/>
        <w:spacing w:after="0" w:line="271" w:lineRule="auto"/>
        <w:tabs>
          <w:tab w:leader="none" w:pos="194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Amended Definition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Loan Agreement shall be amended by amending and restating in its entirety the below definition as follows:</w:t>
      </w:r>
    </w:p>
    <w:p>
      <w:pPr>
        <w:spacing w:after="0" w:line="15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xml:space="preserve">” shall mean the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determined pursuant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167640</wp:posOffset>
            </wp:positionV>
            <wp:extent cx="3642995" cy="7029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43">
                      <a:extLst>
                        <a:ext uri="{28A0092B-C50C-407E-A947-70E740481C1C}"/>
                      </a:extLst>
                    </a:blip>
                    <a:srcRect/>
                    <a:stretch>
                      <a:fillRect/>
                    </a:stretch>
                  </pic:blipFill>
                  <pic:spPr bwMode="auto">
                    <a:xfrm>
                      <a:off x="0" y="0"/>
                      <a:ext cx="3642995" cy="702945"/>
                    </a:xfrm>
                    <a:prstGeom prst="rect">
                      <a:avLst/>
                    </a:prstGeom>
                    <a:noFill/>
                  </pic:spPr>
                </pic:pic>
              </a:graphicData>
            </a:graphic>
          </wp:anchor>
        </w:drawing>
      </w: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Term Loans</w:t>
      </w:r>
    </w:p>
    <w:p>
      <w:pPr>
        <w:spacing w:after="0" w:line="26" w:lineRule="exact"/>
        <w:rPr>
          <w:sz w:val="20"/>
          <w:szCs w:val="20"/>
          <w:color w:val="auto"/>
        </w:rPr>
      </w:pPr>
    </w:p>
    <w:tbl>
      <w:tblPr>
        <w:tblLayout w:type="fixed"/>
        <w:tblInd w:w="1960" w:type="dxa"/>
        <w:tblCellMar>
          <w:top w:w="0" w:type="dxa"/>
          <w:left w:w="0" w:type="dxa"/>
          <w:bottom w:w="0" w:type="dxa"/>
          <w:right w:w="0" w:type="dxa"/>
        </w:tblCellMar>
      </w:tblPr>
      <w:tr>
        <w:trPr>
          <w:trHeight w:val="288"/>
        </w:trPr>
        <w:tc>
          <w:tcPr>
            <w:tcW w:w="2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Applicable Margin</w:t>
            </w:r>
          </w:p>
        </w:tc>
        <w:tc>
          <w:tcPr>
            <w:tcW w:w="2760" w:type="dxa"/>
            <w:vAlign w:val="bottom"/>
            <w:tcBorders>
              <w:top w:val="single" w:sz="8" w:color="auto"/>
            </w:tcBorders>
          </w:tcPr>
          <w:p>
            <w:pPr>
              <w:jc w:val="right"/>
              <w:ind w:right="497"/>
              <w:spacing w:after="0"/>
              <w:rPr>
                <w:sz w:val="20"/>
                <w:szCs w:val="20"/>
                <w:color w:val="auto"/>
              </w:rPr>
            </w:pPr>
            <w:r>
              <w:rPr>
                <w:rFonts w:ascii="Times New Roman" w:cs="Times New Roman" w:eastAsia="Times New Roman" w:hAnsi="Times New Roman"/>
                <w:sz w:val="22"/>
                <w:szCs w:val="22"/>
                <w:color w:val="auto"/>
              </w:rPr>
              <w:t>Applicable Margin</w:t>
            </w:r>
          </w:p>
        </w:tc>
      </w:tr>
      <w:tr>
        <w:trPr>
          <w:trHeight w:val="283"/>
        </w:trPr>
        <w:tc>
          <w:tcPr>
            <w:tcW w:w="29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rPr>
              <w:t>Term Benchmark Loans</w:t>
            </w:r>
          </w:p>
        </w:tc>
        <w:tc>
          <w:tcPr>
            <w:tcW w:w="276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22"/>
                <w:szCs w:val="22"/>
                <w:color w:val="auto"/>
              </w:rPr>
              <w:t>ABR Loans</w:t>
            </w:r>
          </w:p>
        </w:tc>
      </w:tr>
      <w:tr>
        <w:trPr>
          <w:trHeight w:val="237"/>
        </w:trPr>
        <w:tc>
          <w:tcPr>
            <w:tcW w:w="2960" w:type="dxa"/>
            <w:vAlign w:val="bottom"/>
            <w:tcBorders>
              <w:bottom w:val="single" w:sz="8" w:color="auto"/>
              <w:right w:val="single" w:sz="8" w:color="auto"/>
            </w:tcBorders>
          </w:tcPr>
          <w:p>
            <w:pPr>
              <w:jc w:val="right"/>
              <w:ind w:right="1137"/>
              <w:spacing w:after="0"/>
              <w:rPr>
                <w:sz w:val="20"/>
                <w:szCs w:val="20"/>
                <w:color w:val="auto"/>
              </w:rPr>
            </w:pPr>
            <w:r>
              <w:rPr>
                <w:rFonts w:ascii="Times New Roman" w:cs="Times New Roman" w:eastAsia="Times New Roman" w:hAnsi="Times New Roman"/>
                <w:sz w:val="19"/>
                <w:szCs w:val="19"/>
                <w:color w:val="auto"/>
              </w:rPr>
              <w:t>1.75%</w:t>
            </w:r>
          </w:p>
        </w:tc>
        <w:tc>
          <w:tcPr>
            <w:tcW w:w="276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9"/>
                <w:szCs w:val="19"/>
                <w:color w:val="auto"/>
              </w:rPr>
              <w:t>0.75%</w:t>
            </w:r>
          </w:p>
        </w:tc>
      </w:tr>
    </w:tbl>
    <w:p>
      <w:pPr>
        <w:spacing w:after="0" w:line="297" w:lineRule="exact"/>
        <w:rPr>
          <w:sz w:val="20"/>
          <w:szCs w:val="20"/>
          <w:color w:val="auto"/>
        </w:rPr>
      </w:pPr>
    </w:p>
    <w:p>
      <w:pPr>
        <w:ind w:firstLine="1303"/>
        <w:spacing w:after="0" w:line="271" w:lineRule="auto"/>
        <w:tabs>
          <w:tab w:leader="none" w:pos="193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Definitions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Loan Agreement shall be amended by including the following definitions in the correct alphabetical order:</w:t>
      </w:r>
    </w:p>
    <w:p>
      <w:pPr>
        <w:spacing w:after="0" w:line="158" w:lineRule="exact"/>
        <w:rPr>
          <w:sz w:val="20"/>
          <w:szCs w:val="20"/>
          <w:color w:val="auto"/>
        </w:rPr>
      </w:pPr>
    </w:p>
    <w:p>
      <w:pPr>
        <w:jc w:val="both"/>
        <w:ind w:left="1380" w:right="96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w:t>
      </w:r>
      <w:r>
        <w:rPr>
          <w:rFonts w:ascii="Times New Roman" w:cs="Times New Roman" w:eastAsia="Times New Roman" w:hAnsi="Times New Roman"/>
          <w:sz w:val="22"/>
          <w:szCs w:val="22"/>
          <w:color w:val="auto"/>
        </w:rPr>
        <w:t>” means Amendment No. 4 to Term Loan Credit and Guaranty Agreement, dated as of the Fourth Amendment Effective Date, among the Borrower, Parent, JPMorgan Chase Bank, N.A., as fronting lender thereunder, and the Administrative Agent, as administrative agent for the Lenders and on behalf of the Consenting Lenders (as defined therein).</w:t>
      </w:r>
    </w:p>
    <w:p>
      <w:pPr>
        <w:spacing w:after="0" w:line="176" w:lineRule="exact"/>
        <w:rPr>
          <w:sz w:val="20"/>
          <w:szCs w:val="20"/>
          <w:color w:val="auto"/>
        </w:rPr>
      </w:pPr>
    </w:p>
    <w:p>
      <w:pPr>
        <w:jc w:val="both"/>
        <w:ind w:left="1380" w:right="9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 Effective Date</w:t>
      </w:r>
      <w:r>
        <w:rPr>
          <w:rFonts w:ascii="Times New Roman" w:cs="Times New Roman" w:eastAsia="Times New Roman" w:hAnsi="Times New Roman"/>
          <w:sz w:val="22"/>
          <w:szCs w:val="22"/>
          <w:color w:val="auto"/>
        </w:rPr>
        <w:t>” means February 3, 2026, immediately after giving effect to the amendments and other transactions contemplated pursuant to the Fourth Amendment (subject to the terms and conditions thereof).</w:t>
      </w:r>
    </w:p>
    <w:p>
      <w:pPr>
        <w:spacing w:after="0" w:line="186" w:lineRule="exact"/>
        <w:rPr>
          <w:sz w:val="20"/>
          <w:szCs w:val="20"/>
          <w:color w:val="auto"/>
        </w:rPr>
      </w:pPr>
    </w:p>
    <w:p>
      <w:pPr>
        <w:ind w:left="1940" w:hanging="637"/>
        <w:spacing w:after="0"/>
        <w:tabs>
          <w:tab w:leader="none" w:pos="194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 xml:space="preserve"> of the Loan Agreement shall be amended and restated in its entirety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96" w:lineRule="exact"/>
        <w:rPr>
          <w:sz w:val="20"/>
          <w:szCs w:val="20"/>
          <w:color w:val="auto"/>
        </w:rPr>
      </w:pPr>
    </w:p>
    <w:p>
      <w:pPr>
        <w:jc w:val="both"/>
        <w:ind w:left="1300" w:right="960"/>
        <w:spacing w:after="0" w:line="250" w:lineRule="auto"/>
        <w:rPr>
          <w:sz w:val="20"/>
          <w:szCs w:val="20"/>
          <w:color w:val="auto"/>
        </w:rPr>
      </w:pPr>
      <w:r>
        <w:rPr>
          <w:rFonts w:ascii="Times New Roman" w:cs="Times New Roman" w:eastAsia="Times New Roman" w:hAnsi="Times New Roman"/>
          <w:sz w:val="22"/>
          <w:szCs w:val="22"/>
          <w:color w:val="auto"/>
        </w:rPr>
        <w:t>“(c) In the event that, within the first six (6) months after the Fourth Amendment Effective Date, there shall occur any Repricing Event, the Borrower shall pay to the Administrative Agent, for the ratable account of each of the Term Lenders holding Class B Term Loans subject to such Repricing Event, an amount equal to 1.00% of the aggregate principal amount of the Class B Term Loans subject to such Repricing Event outstanding immediately prior to the effectiveness thereof unless such fee is waived by the applicable Term Lender. Any Term Lender that is a non-consenting Lender in respect of a Repricing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UAL SRG Term Loan Amendment No. 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214" w:name="page215"/>
    <w:bookmarkEnd w:id="214"/>
    <w:p>
      <w:pPr>
        <w:jc w:val="both"/>
        <w:ind w:left="1300" w:right="960"/>
        <w:spacing w:after="0" w:line="249" w:lineRule="auto"/>
        <w:rPr>
          <w:sz w:val="20"/>
          <w:szCs w:val="20"/>
          <w:color w:val="auto"/>
        </w:rPr>
      </w:pPr>
      <w:r>
        <w:rPr>
          <w:rFonts w:ascii="Times New Roman" w:cs="Times New Roman" w:eastAsia="Times New Roman" w:hAnsi="Times New Roman"/>
          <w:sz w:val="22"/>
          <w:szCs w:val="22"/>
          <w:color w:val="auto"/>
        </w:rPr>
        <w:t xml:space="preserve">Event may be replaced in accordance with </w:t>
      </w:r>
      <w:r>
        <w:rPr>
          <w:rFonts w:ascii="Times New Roman" w:cs="Times New Roman" w:eastAsia="Times New Roman" w:hAnsi="Times New Roman"/>
          <w:sz w:val="22"/>
          <w:szCs w:val="22"/>
          <w:u w:val="single" w:color="auto"/>
          <w:color w:val="auto"/>
        </w:rPr>
        <w:t>Section 10.08(d)</w:t>
      </w:r>
      <w:r>
        <w:rPr>
          <w:rFonts w:ascii="Times New Roman" w:cs="Times New Roman" w:eastAsia="Times New Roman" w:hAnsi="Times New Roman"/>
          <w:sz w:val="22"/>
          <w:szCs w:val="22"/>
          <w:color w:val="auto"/>
        </w:rPr>
        <w:t xml:space="preserve"> to the extent permitted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replacement is within the first six months after the Fourth Amendment Effective Date, any such Term Lender so replaced shall be entitled to the prepayment premium set forth in the preceding sentence with respect to its Class B Term Loans so assigned unless such fee is waived by such Term Lender. No prepayment premium shall be payable at any time for any prepayment of Term Loans made by the Borrower pursuant to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xml:space="preserve"> so long as such prepayment (i) does not constitute a Repricing Event or (ii) occurs on or after the six-month anniversary of the Fourth Amendment Effective Date.”</w:t>
      </w:r>
    </w:p>
    <w:p>
      <w:pPr>
        <w:spacing w:after="0" w:line="195" w:lineRule="exact"/>
        <w:rPr>
          <w:sz w:val="20"/>
          <w:szCs w:val="20"/>
          <w:color w:val="auto"/>
        </w:rPr>
      </w:pPr>
    </w:p>
    <w:p>
      <w:pPr>
        <w:ind w:firstLine="1295"/>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2 - Conditions to Effectiveness</w:t>
      </w:r>
      <w:r>
        <w:rPr>
          <w:rFonts w:ascii="Times New Roman" w:cs="Times New Roman" w:eastAsia="Times New Roman" w:hAnsi="Times New Roman"/>
          <w:sz w:val="22"/>
          <w:szCs w:val="22"/>
          <w:color w:val="auto"/>
        </w:rPr>
        <w:t>. This Amendment shall become effective on the date when each of the following conditions specified below shall have been satisfied (the “</w:t>
      </w:r>
      <w:r>
        <w:rPr>
          <w:rFonts w:ascii="Times New Roman" w:cs="Times New Roman" w:eastAsia="Times New Roman" w:hAnsi="Times New Roman"/>
          <w:sz w:val="22"/>
          <w:szCs w:val="22"/>
          <w:u w:val="single" w:color="auto"/>
          <w:color w:val="auto"/>
        </w:rPr>
        <w:t>Fourth Amendment Effective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3"/>
        <w:spacing w:after="0" w:line="257" w:lineRule="auto"/>
        <w:tabs>
          <w:tab w:leader="none" w:pos="193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the Borrower shall have received a signed signature page to this Amendment from the Borrower, Parent, the Fronting Lender, and the Administrative Agent and a signed consent from each Consenting Lender;</w:t>
      </w:r>
    </w:p>
    <w:p>
      <w:pPr>
        <w:spacing w:after="0" w:line="172" w:lineRule="exact"/>
        <w:rPr>
          <w:rFonts w:ascii="Times New Roman" w:cs="Times New Roman" w:eastAsia="Times New Roman" w:hAnsi="Times New Roman"/>
          <w:sz w:val="22"/>
          <w:szCs w:val="22"/>
          <w:color w:val="auto"/>
        </w:rPr>
      </w:pPr>
    </w:p>
    <w:p>
      <w:pPr>
        <w:ind w:firstLine="1303"/>
        <w:spacing w:after="0" w:line="284" w:lineRule="auto"/>
        <w:tabs>
          <w:tab w:leader="none" w:pos="193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with respect to the Borrower and the Parent a certificate of the Secretary of State of the state of Delaware, dated as of a recent date, as to its good standing;</w:t>
      </w:r>
    </w:p>
    <w:p>
      <w:pPr>
        <w:spacing w:after="0" w:line="143" w:lineRule="exact"/>
        <w:rPr>
          <w:rFonts w:ascii="Times New Roman" w:cs="Times New Roman" w:eastAsia="Times New Roman" w:hAnsi="Times New Roman"/>
          <w:sz w:val="22"/>
          <w:szCs w:val="22"/>
          <w:color w:val="auto"/>
        </w:rPr>
      </w:pPr>
    </w:p>
    <w:p>
      <w:pPr>
        <w:jc w:val="both"/>
        <w:ind w:firstLine="1303"/>
        <w:spacing w:after="0" w:line="275" w:lineRule="auto"/>
        <w:tabs>
          <w:tab w:leader="none" w:pos="1943"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certificate of the Secretary or an Assistant Secretary (or similar officer) of each of the Borrower and the Parent dated the date hereof and certifying as to the incumbency and specimen signature of each officer of that entity executing this Amendment or any other document delivered by it in connection herewith;</w:t>
      </w:r>
    </w:p>
    <w:p>
      <w:pPr>
        <w:spacing w:after="0" w:line="155" w:lineRule="exact"/>
        <w:rPr>
          <w:rFonts w:ascii="Times New Roman" w:cs="Times New Roman" w:eastAsia="Times New Roman" w:hAnsi="Times New Roman"/>
          <w:sz w:val="21"/>
          <w:szCs w:val="21"/>
          <w:color w:val="auto"/>
        </w:rPr>
      </w:pPr>
    </w:p>
    <w:p>
      <w:pPr>
        <w:jc w:val="both"/>
        <w:ind w:firstLine="1303"/>
        <w:spacing w:after="0" w:line="251" w:lineRule="auto"/>
        <w:tabs>
          <w:tab w:leader="none" w:pos="193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for the benefit of itself and the Consenting Lenders the then-unpaid balance of all accrued and unpaid fees due, owing and payable by the Borrower to them in connection with this Amendment, as agreed to by the Borrower, and the reasonable attorneys’ fees of Milbank LLP as counsel to the Administrative Agent and to the Fronting Lender incurred in connection with the preparation, execution and delivery of this Amendment as to which the Borrower shall have received an invoice at least one Business Day prior to the Fourth Amendment Effective Date;</w:t>
      </w:r>
    </w:p>
    <w:p>
      <w:pPr>
        <w:spacing w:after="0" w:line="194" w:lineRule="exact"/>
        <w:rPr>
          <w:rFonts w:ascii="Times New Roman" w:cs="Times New Roman" w:eastAsia="Times New Roman" w:hAnsi="Times New Roman"/>
          <w:sz w:val="22"/>
          <w:szCs w:val="22"/>
          <w:color w:val="auto"/>
        </w:rPr>
      </w:pPr>
    </w:p>
    <w:p>
      <w:pPr>
        <w:jc w:val="both"/>
        <w:ind w:firstLine="1303"/>
        <w:spacing w:after="0" w:line="265" w:lineRule="auto"/>
        <w:tabs>
          <w:tab w:leader="none" w:pos="1938"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an Officer’s Certificate from the Borrower certifying as to the truth in all material respects of the representations and warranties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Amendment as though made by it on the date hereof after giving effect to this Amendment, except to the extent that any such representation or warranty relates to a specified date, in which case as of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representation or warranty that is qualified by materiality, “Material Adverse Change” or “Material Adverse Effect” shall be true and correct in all respects as of the applicable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UAL SRG Term Loan Amendment No. 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215" w:name="page216"/>
    <w:bookmarkEnd w:id="215"/>
    <w:p>
      <w:pPr>
        <w:ind w:firstLine="1303"/>
        <w:spacing w:after="0" w:line="271" w:lineRule="auto"/>
        <w:tabs>
          <w:tab w:leader="none" w:pos="193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accrued on the Term Loans that has not yet been paid by the Borrower to the Administrative Agent as of the Fourth Amendment Effective Date shall have been paid in full; and</w:t>
      </w:r>
    </w:p>
    <w:p>
      <w:pPr>
        <w:spacing w:after="0" w:line="153" w:lineRule="exact"/>
        <w:rPr>
          <w:rFonts w:ascii="Times New Roman" w:cs="Times New Roman" w:eastAsia="Times New Roman" w:hAnsi="Times New Roman"/>
          <w:sz w:val="22"/>
          <w:szCs w:val="22"/>
          <w:color w:val="auto"/>
        </w:rPr>
      </w:pPr>
    </w:p>
    <w:p>
      <w:pPr>
        <w:jc w:val="both"/>
        <w:ind w:firstLine="1303"/>
        <w:spacing w:after="0" w:line="252" w:lineRule="auto"/>
        <w:tabs>
          <w:tab w:leader="none" w:pos="193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amounts owing to the Non-Consenting Lenders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Break Funding Payments</w:t>
      </w:r>
      <w:r>
        <w:rPr>
          <w:rFonts w:ascii="Times New Roman" w:cs="Times New Roman" w:eastAsia="Times New Roman" w:hAnsi="Times New Roman"/>
          <w:sz w:val="22"/>
          <w:szCs w:val="22"/>
          <w:color w:val="auto"/>
        </w:rPr>
        <w:t xml:space="preserve">) of the Loan Agreement in connection with the repayment of their Refinanced Term Loans pursuant to this Amendment shall have been paid by the Borrower to the Administrative Agent for the account of each such Non-Consenting Lender, subject in the case of each Non-Consenting Lender to its giving the Borrower a written certificate setting forth any such amount due to it at least one Business Day prior to the Fourth Amendment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failure to deliver such certificate prior to such time shall not impact a Non-Consenting Lender’s rights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Break Funding Payments</w:t>
      </w:r>
      <w:r>
        <w:rPr>
          <w:rFonts w:ascii="Times New Roman" w:cs="Times New Roman" w:eastAsia="Times New Roman" w:hAnsi="Times New Roman"/>
          <w:sz w:val="22"/>
          <w:szCs w:val="22"/>
          <w:color w:val="auto"/>
        </w:rPr>
        <w:t>), but such payment (if any) shall not be a condition precedent to the Fourth Amendment Effective Date.</w:t>
      </w:r>
    </w:p>
    <w:p>
      <w:pPr>
        <w:spacing w:after="0" w:line="183" w:lineRule="exact"/>
        <w:rPr>
          <w:sz w:val="20"/>
          <w:szCs w:val="20"/>
          <w:color w:val="auto"/>
        </w:rPr>
      </w:pPr>
    </w:p>
    <w:p>
      <w:pPr>
        <w:jc w:val="both"/>
        <w:ind w:firstLine="1295"/>
        <w:spacing w:after="0" w:line="271" w:lineRule="auto"/>
        <w:rPr>
          <w:sz w:val="20"/>
          <w:szCs w:val="20"/>
          <w:color w:val="auto"/>
        </w:rPr>
      </w:pPr>
      <w:r>
        <w:rPr>
          <w:rFonts w:ascii="Times New Roman" w:cs="Times New Roman" w:eastAsia="Times New Roman" w:hAnsi="Times New Roman"/>
          <w:sz w:val="22"/>
          <w:szCs w:val="22"/>
          <w:color w:val="auto"/>
        </w:rPr>
        <w:t>The Administrative Agent shall promptly notify the parties hereto of the occurrence of the Fourth Amendment Effective Date.</w:t>
      </w:r>
    </w:p>
    <w:p>
      <w:pPr>
        <w:spacing w:after="0" w:line="158" w:lineRule="exact"/>
        <w:rPr>
          <w:sz w:val="20"/>
          <w:szCs w:val="20"/>
          <w:color w:val="auto"/>
        </w:rPr>
      </w:pPr>
    </w:p>
    <w:p>
      <w:pPr>
        <w:jc w:val="both"/>
        <w:ind w:firstLine="1295"/>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3 - Representations and Warranties</w:t>
      </w:r>
      <w:r>
        <w:rPr>
          <w:rFonts w:ascii="Times New Roman" w:cs="Times New Roman" w:eastAsia="Times New Roman" w:hAnsi="Times New Roman"/>
          <w:sz w:val="22"/>
          <w:szCs w:val="22"/>
          <w:color w:val="auto"/>
        </w:rPr>
        <w:t xml:space="preserve">. In order to induce the Consenting Lenders and the Administrative Agent to enter into this Amendment, the Borrower represents and warrants to each of the Consenting Lenders and the Administrative Agent that on and as of the date hereof after giving effect to this Amendment, (i) no Event of Default has occurred and is continuing or would result from giving effect to this Amendment and (ii) the representations and warranties contained in the Loan Agreement and the other Loan Documents (other than the representations and warranties set forth in </w:t>
      </w:r>
      <w:r>
        <w:rPr>
          <w:rFonts w:ascii="Times New Roman" w:cs="Times New Roman" w:eastAsia="Times New Roman" w:hAnsi="Times New Roman"/>
          <w:sz w:val="22"/>
          <w:szCs w:val="22"/>
          <w:u w:val="single" w:color="auto"/>
          <w:color w:val="auto"/>
        </w:rPr>
        <w:t>Sections 3.05(b)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3.09(a)</w:t>
      </w:r>
      <w:r>
        <w:rPr>
          <w:rFonts w:ascii="Times New Roman" w:cs="Times New Roman" w:eastAsia="Times New Roman" w:hAnsi="Times New Roman"/>
          <w:sz w:val="22"/>
          <w:szCs w:val="22"/>
          <w:color w:val="auto"/>
        </w:rPr>
        <w:t xml:space="preserve"> of the Loan Agreement), are true and correct in all material respects on and as of the date hereof with the same effect as if made on and as of the date hereof except to the extent that such representations and warranties expressly relate to an earlier date and in such case as of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representation or warranty that is qualified by materiality, “Material Adverse Change” or “Material Adverse Effect” shall be true and correct in all respects, as though made on and as of the applicable date.</w:t>
      </w:r>
    </w:p>
    <w:p>
      <w:pPr>
        <w:spacing w:after="0" w:line="183" w:lineRule="exact"/>
        <w:rPr>
          <w:sz w:val="20"/>
          <w:szCs w:val="20"/>
          <w:color w:val="auto"/>
        </w:rPr>
      </w:pPr>
    </w:p>
    <w:p>
      <w:pPr>
        <w:jc w:val="both"/>
        <w:ind w:firstLine="1295"/>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4 - Reference to and Effect on the Loan Agreement; Ratification</w:t>
      </w:r>
      <w:r>
        <w:rPr>
          <w:rFonts w:ascii="Times New Roman" w:cs="Times New Roman" w:eastAsia="Times New Roman" w:hAnsi="Times New Roman"/>
          <w:sz w:val="22"/>
          <w:szCs w:val="22"/>
          <w:color w:val="auto"/>
        </w:rPr>
        <w:t xml:space="preserve">. At and after the effectiveness of this Amendment, each reference in the Loan Agreement to “this Agreement,” “hereunder,” “hereof” or words of like import referring to the Loan Agreement, shall mean and be a reference to the Loan Agreement, as amended by this Amendment. The Loan Agreement and each of the other Loan Documents, as specifically amended by this Amendment, and the obligations of the Borrower hereunder and thereunder, are and shall continue to be in full force and effect and are hereby in all respects ratified and confirmed. The parties hereto confirm and agree that the guaranty under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the Loan Agreement shall continue in full force and effect after giving effect to this Amendment, and the term “Obligations” as used in the Loan Agreement shall include all obligations of the Borrower under the Loan Agreement, as amended by this Amendment. This Amendment shall be deemed to be a “Loan Document” for all purposes of the Loan Agreement and the other Loan Documents. The execution, delivery and effectiveness of this Amendment shall not, except as expressly provided herein, operate as an amendment or waiver of any right, power or remedy of any Lender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UAL SRG Term Loan Amendment No. 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216" w:name="page217"/>
    <w:bookmarkEnd w:id="216"/>
    <w:p>
      <w:pPr>
        <w:jc w:val="both"/>
        <w:spacing w:after="0" w:line="271" w:lineRule="auto"/>
        <w:rPr>
          <w:sz w:val="20"/>
          <w:szCs w:val="20"/>
          <w:color w:val="auto"/>
        </w:rPr>
      </w:pPr>
      <w:r>
        <w:rPr>
          <w:rFonts w:ascii="Times New Roman" w:cs="Times New Roman" w:eastAsia="Times New Roman" w:hAnsi="Times New Roman"/>
          <w:sz w:val="22"/>
          <w:szCs w:val="22"/>
          <w:color w:val="auto"/>
        </w:rPr>
        <w:t>Administrative Agent under any of the Loan Documents, nor constitute an amendment or waiver of any provision of any of the Loan Documents.</w:t>
      </w:r>
    </w:p>
    <w:p>
      <w:pPr>
        <w:spacing w:after="0" w:line="158" w:lineRule="exact"/>
        <w:rPr>
          <w:sz w:val="20"/>
          <w:szCs w:val="20"/>
          <w:color w:val="auto"/>
        </w:rPr>
      </w:pPr>
    </w:p>
    <w:p>
      <w:pPr>
        <w:jc w:val="both"/>
        <w:ind w:firstLine="1295"/>
        <w:spacing w:after="0" w:line="258" w:lineRule="auto"/>
        <w:rPr>
          <w:sz w:val="20"/>
          <w:szCs w:val="20"/>
          <w:color w:val="auto"/>
        </w:rPr>
      </w:pPr>
      <w:r>
        <w:rPr>
          <w:rFonts w:ascii="Times New Roman" w:cs="Times New Roman" w:eastAsia="Times New Roman" w:hAnsi="Times New Roman"/>
          <w:sz w:val="21"/>
          <w:szCs w:val="21"/>
          <w:u w:val="single" w:color="auto"/>
          <w:color w:val="auto"/>
        </w:rPr>
        <w:t>SECTION 5 - Execution in Counterparts</w:t>
      </w:r>
      <w:r>
        <w:rPr>
          <w:rFonts w:ascii="Times New Roman" w:cs="Times New Roman" w:eastAsia="Times New Roman" w:hAnsi="Times New Roman"/>
          <w:sz w:val="21"/>
          <w:szCs w:val="21"/>
          <w:color w:val="auto"/>
        </w:rPr>
        <w:t xml:space="preserve">. This Amendment may be executed in counterparts (and by different parties hereto on different counterparts), each of which shall constitute an original, but all of which when taken together shall constitute a single contract. The execution and delivery of a consent to this Amendment by each Consenting Lender shall be irrevocable and shall be binding upon such Consenting Lender’s successors, transferees and assigns. This Amendment shall become effective as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and from and after the Fourth Amendment Effective Date shall be binding upon and inure to the benefit of the parties hereto and their respective successors, transferees and assigns. Delivery of an executed counterpart of a signature page of (x) this Amendment or of a consent to this Amendment, and/or (y) any document, amendment, approval, consent, information, notice, certificate, request, statement, disclosure or authorization related to this Amendment and/or the transactions contemplated 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that is an electronic signature transmitted by telecopy, emailed pdf. or any other electronic means that reproduces an image of an actual executed signature page shall be effective as delivery of a manually executed counterpart of this Amendment, such consent or such Ancillary Document, as applicable. The words “execution,” “signed,” “signature,” “delivery,” and words of like import in or relating to this Amendment, a consent to this Amendment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without limiting the foregoing, (A) the Administrative Agent and each of the Lenders shall be entitled to rely on such electronic signature purportedly given by or on behalf of the Borrower or the Guarantors without further verification thereof and without any obligation to review the appearance or form of any such electronic signature and (B) upon the request of the Administrative Agent or any Lender, any electronic signature shall be promptly followed by a manually executed counterpart. Without limiting the generality of the foregoing, the Borrower and each Guarantor hereby agrees that, for all purposes, including without limitation, in connection with any workout, restructuring, enforcement of remedies, bankruptcy proceedings or litigation among the Administrative Agent, the Lenders, and the Borrower and each Guarantor, electronic signatures transmitted by telecopy, emailed pdf. or any other electronic means that reproduces an image of an actual executed signature page and/or any electronic images of this Amendment, a consent to this Amendment and/or any Ancillary Document shall have the same legal effect, validity and enforceability as any paper original, the Administrative Agent and each of the Lenders may, at its option, create one or more copies of this Amendment, a consent to this Amendment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waives any argument, defense or right to contest the legal effect, validity or enforceability of this Amendment, a consent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UAL SRG Term Loan Amendment No. 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217" w:name="page218"/>
    <w:bookmarkEnd w:id="217"/>
    <w:p>
      <w:pPr>
        <w:jc w:val="both"/>
        <w:spacing w:after="0" w:line="251" w:lineRule="auto"/>
        <w:rPr>
          <w:sz w:val="20"/>
          <w:szCs w:val="20"/>
          <w:color w:val="auto"/>
        </w:rPr>
      </w:pPr>
      <w:r>
        <w:rPr>
          <w:rFonts w:ascii="Times New Roman" w:cs="Times New Roman" w:eastAsia="Times New Roman" w:hAnsi="Times New Roman"/>
          <w:sz w:val="22"/>
          <w:szCs w:val="22"/>
          <w:color w:val="auto"/>
        </w:rPr>
        <w:t>Amendment and/or any Ancillary Document based solely on the lack of paper original copies of this Amendment, a consent to this Amendment and/or any Ancillary Document and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 each Guarantor to use any available security measures in connection with the execution, delivery or transmission of any electronic signature.</w:t>
      </w:r>
    </w:p>
    <w:p>
      <w:pPr>
        <w:spacing w:after="0" w:line="181" w:lineRule="exact"/>
        <w:rPr>
          <w:sz w:val="20"/>
          <w:szCs w:val="20"/>
          <w:color w:val="auto"/>
        </w:rPr>
      </w:pPr>
    </w:p>
    <w:p>
      <w:pPr>
        <w:jc w:val="both"/>
        <w:ind w:right="640" w:firstLine="1295"/>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6 - Governing Law</w:t>
      </w:r>
      <w:r>
        <w:rPr>
          <w:rFonts w:ascii="Times New Roman" w:cs="Times New Roman" w:eastAsia="Times New Roman" w:hAnsi="Times New Roman"/>
          <w:sz w:val="22"/>
          <w:szCs w:val="22"/>
          <w:color w:val="auto"/>
        </w:rPr>
        <w:t>. THIS AMENDMENT AND THE RIGHTS AND OBLIGATIONS OF THE PARTIES UNDER THIS AMENDMENT SHALL BE GOVERNED BY, AND CONSTRUED AND INTERPRETED IN ACCORDANCE WITH, THE LAW OF THE STATE OF NEW YORK.</w:t>
      </w:r>
    </w:p>
    <w:p>
      <w:pPr>
        <w:spacing w:after="0" w:line="167" w:lineRule="exact"/>
        <w:rPr>
          <w:sz w:val="20"/>
          <w:szCs w:val="20"/>
          <w:color w:val="auto"/>
        </w:rPr>
      </w:pPr>
    </w:p>
    <w:p>
      <w:pPr>
        <w:ind w:firstLine="1295"/>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7 - Refinancing of Non-Consenting Lender Term Loans; Assignments of Certain Lenders</w:t>
      </w:r>
      <w:r>
        <w:rPr>
          <w:rFonts w:ascii="Times New Roman" w:cs="Times New Roman" w:eastAsia="Times New Roman" w:hAnsi="Times New Roman"/>
          <w:sz w:val="22"/>
          <w:szCs w:val="22"/>
          <w:color w:val="auto"/>
        </w:rPr>
        <w:t xml:space="preserve">. Subject to the satisfaction of the conditions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effective as of the Fourth Amendment Effective Date:</w:t>
      </w:r>
    </w:p>
    <w:p>
      <w:pPr>
        <w:spacing w:after="0" w:line="158" w:lineRule="exact"/>
        <w:rPr>
          <w:sz w:val="20"/>
          <w:szCs w:val="20"/>
          <w:color w:val="auto"/>
        </w:rPr>
      </w:pPr>
    </w:p>
    <w:p>
      <w:pPr>
        <w:jc w:val="both"/>
        <w:ind w:firstLine="1303"/>
        <w:spacing w:after="0" w:line="251" w:lineRule="auto"/>
        <w:tabs>
          <w:tab w:leader="none" w:pos="19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outstanding Refinanced Term Loans of each Non-Consenting Lender shall,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10.08(e)</w:t>
      </w:r>
      <w:r>
        <w:rPr>
          <w:rFonts w:ascii="Times New Roman" w:cs="Times New Roman" w:eastAsia="Times New Roman" w:hAnsi="Times New Roman"/>
          <w:sz w:val="22"/>
          <w:szCs w:val="22"/>
          <w:color w:val="auto"/>
        </w:rPr>
        <w:t xml:space="preserve"> of the Loan Agreement, be repaid, on behalf of the Borrower by payment from the Fronting Lender of an amount equal to the outstanding principal amount of, and accrued and unpaid interest on all of such Refinanced Term Loans, and all of such Non-Consenting Lender’s existing Refinanced Term Loans shall be deemed refinanced by new Class B Term Loans held by the Fronting Lender in an amount corresponding to the amount of existing Refinanced Term Loans held by such Non-Consenting Lender,</w:t>
      </w:r>
    </w:p>
    <w:p>
      <w:pPr>
        <w:spacing w:after="0" w:line="181" w:lineRule="exact"/>
        <w:rPr>
          <w:rFonts w:ascii="Times New Roman" w:cs="Times New Roman" w:eastAsia="Times New Roman" w:hAnsi="Times New Roman"/>
          <w:sz w:val="22"/>
          <w:szCs w:val="22"/>
          <w:color w:val="auto"/>
        </w:rPr>
      </w:pPr>
    </w:p>
    <w:p>
      <w:pPr>
        <w:jc w:val="both"/>
        <w:ind w:firstLine="1303"/>
        <w:spacing w:after="0" w:line="263" w:lineRule="auto"/>
        <w:tabs>
          <w:tab w:leader="none" w:pos="193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Consenting Lender will hold new Class B Term Loans, in a principal amount equal to its Refinanced Term Loans or greater amount as agreed between such Consenting Lender and the Fronting Lender, subject to the amended terms described in this Amendment,</w:t>
      </w:r>
    </w:p>
    <w:p>
      <w:pPr>
        <w:spacing w:after="0" w:line="167" w:lineRule="exact"/>
        <w:rPr>
          <w:rFonts w:ascii="Times New Roman" w:cs="Times New Roman" w:eastAsia="Times New Roman" w:hAnsi="Times New Roman"/>
          <w:sz w:val="22"/>
          <w:szCs w:val="22"/>
          <w:color w:val="auto"/>
        </w:rPr>
      </w:pPr>
    </w:p>
    <w:p>
      <w:pPr>
        <w:jc w:val="both"/>
        <w:ind w:firstLine="1303"/>
        <w:spacing w:after="0" w:line="253" w:lineRule="auto"/>
        <w:tabs>
          <w:tab w:leader="none" w:pos="19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Replacement Term Loans shall be deemed the Class B Term Loans and shall replace the Refinanced Term Loans, and all Replacement Term Loans shall be subject to the same Interest Period as the Refinanced Term Loans in existence immediately prior to the Fourth Amendment Effective Date, and shall continue to accrue interest in accordance with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of the Loan Agreement on and after the Fourth Amendment Effective Date at the same interest rate, except for the change in the Applicable Margin pursuant to this Amendment effective on the Fourth Amendment Effective Date, and</w:t>
      </w:r>
    </w:p>
    <w:p>
      <w:pPr>
        <w:spacing w:after="0" w:line="178" w:lineRule="exact"/>
        <w:rPr>
          <w:rFonts w:ascii="Times New Roman" w:cs="Times New Roman" w:eastAsia="Times New Roman" w:hAnsi="Times New Roman"/>
          <w:sz w:val="22"/>
          <w:szCs w:val="22"/>
          <w:color w:val="auto"/>
        </w:rPr>
      </w:pPr>
    </w:p>
    <w:p>
      <w:pPr>
        <w:ind w:right="20" w:firstLine="1303"/>
        <w:spacing w:after="0" w:line="271" w:lineRule="auto"/>
        <w:tabs>
          <w:tab w:leader="none" w:pos="193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Fronting Lender shall advance a Replacement Term Loan in a principal amount equal to the principal amount of Refinanced Term Loans required to be paid by the Fronting Lender pursuant to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UAL SRG Term Loan Amendment No. 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21"/>
          <w:szCs w:val="21"/>
          <w:color w:val="auto"/>
        </w:rPr>
        <w:t>[REMAINDER OF THIS PAGE IS LEFT BLANK INTENTIONALLY]</w:t>
      </w:r>
    </w:p>
    <w:p>
      <w:pPr>
        <w:sectPr>
          <w:pgSz w:w="11900" w:h="16838" w:orient="portrait"/>
          <w:cols w:equalWidth="0" w:num="1">
            <w:col w:w="9019"/>
          </w:cols>
          <w:pgMar w:left="144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UAL SRG Term Loan Amendment No. 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019"/>
          </w:cols>
          <w:pgMar w:left="1440" w:top="1422" w:right="1440" w:bottom="1440" w:gutter="0" w:footer="0" w:header="0"/>
          <w:type w:val="continuous"/>
        </w:sectPr>
      </w:pPr>
    </w:p>
    <w:bookmarkStart w:id="219" w:name="page220"/>
    <w:bookmarkEnd w:id="219"/>
    <w:p>
      <w:pPr>
        <w:ind w:firstLine="48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as of the day and year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JPMORGAN CHASE BANK, N.A., as</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Maximo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1277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44">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Maximo Bauer</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UAL 2026 – SRG Term Loan Amendment No. 4</w:t>
      </w:r>
    </w:p>
    <w:p>
      <w:pPr>
        <w:sectPr>
          <w:pgSz w:w="11900" w:h="16838" w:orient="portrait"/>
          <w:cols w:equalWidth="0" w:num="1">
            <w:col w:w="11220"/>
          </w:cols>
          <w:pgMar w:left="320" w:top="1422" w:right="359" w:bottom="1440" w:gutter="0" w:footer="0" w:header="0"/>
        </w:sectPr>
      </w:pPr>
    </w:p>
    <w:bookmarkStart w:id="220" w:name="page221"/>
    <w:bookmarkEnd w:id="220"/>
    <w:p>
      <w:pPr>
        <w:jc w:val="right"/>
        <w:ind w:right="2039"/>
        <w:spacing w:after="0"/>
        <w:rPr>
          <w:sz w:val="20"/>
          <w:szCs w:val="20"/>
          <w:color w:val="auto"/>
        </w:rPr>
      </w:pPr>
      <w:r>
        <w:rPr>
          <w:rFonts w:ascii="Times New Roman" w:cs="Times New Roman" w:eastAsia="Times New Roman" w:hAnsi="Times New Roman"/>
          <w:sz w:val="22"/>
          <w:szCs w:val="22"/>
          <w:color w:val="auto"/>
        </w:rPr>
        <w:t>JPMORGAN CHASE BANK, N.A., as Fronting</w:t>
      </w:r>
    </w:p>
    <w:p>
      <w:pPr>
        <w:spacing w:after="0" w:line="22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Lender</w:t>
      </w:r>
    </w:p>
    <w:p>
      <w:pPr>
        <w:spacing w:after="0" w:line="22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Maximo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-13970</wp:posOffset>
            </wp:positionV>
            <wp:extent cx="11277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45">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Maximo Bauer</w:t>
      </w:r>
    </w:p>
    <w:p>
      <w:pPr>
        <w:spacing w:after="0" w:line="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UAL 2026 – SRG Term Loan Amendment No. 4</w:t>
      </w:r>
    </w:p>
    <w:p>
      <w:pPr>
        <w:sectPr>
          <w:pgSz w:w="11900" w:h="16838" w:orient="portrait"/>
          <w:cols w:equalWidth="0" w:num="1">
            <w:col w:w="10099"/>
          </w:cols>
          <w:pgMar w:left="360" w:top="1422" w:right="1440" w:bottom="1440" w:gutter="0" w:footer="0" w:header="0"/>
        </w:sectPr>
      </w:pPr>
    </w:p>
    <w:bookmarkStart w:id="221" w:name="page222"/>
    <w:bookmarkEnd w:id="221"/>
    <w:p>
      <w:pPr>
        <w:spacing w:after="0" w:line="200" w:lineRule="exact"/>
        <w:rPr>
          <w:sz w:val="20"/>
          <w:szCs w:val="20"/>
          <w:color w:val="auto"/>
        </w:rPr>
      </w:pPr>
    </w:p>
    <w:p>
      <w:pPr>
        <w:spacing w:after="0" w:line="2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200" w:lineRule="exact"/>
        <w:rPr>
          <w:sz w:val="20"/>
          <w:szCs w:val="20"/>
          <w:color w:val="auto"/>
        </w:rPr>
      </w:pPr>
    </w:p>
    <w:p>
      <w:pPr>
        <w:spacing w:after="0" w:line="294" w:lineRule="exact"/>
        <w:rPr>
          <w:sz w:val="20"/>
          <w:szCs w:val="20"/>
          <w:color w:val="auto"/>
        </w:rPr>
      </w:pPr>
    </w:p>
    <w:p>
      <w:pPr>
        <w:ind w:left="3860"/>
        <w:spacing w:after="0"/>
        <w:tabs>
          <w:tab w:leader="none" w:pos="43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 Eric Harder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-13970</wp:posOffset>
            </wp:positionV>
            <wp:extent cx="1203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46">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J. Eric Harder</w:t>
      </w:r>
    </w:p>
    <w:p>
      <w:pPr>
        <w:spacing w:after="0" w:line="5"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UAL 2026 – SRG Term Loan Amendment No. 4</w:t>
      </w:r>
    </w:p>
    <w:p>
      <w:pPr>
        <w:sectPr>
          <w:pgSz w:w="11900" w:h="16838" w:orient="portrait"/>
          <w:cols w:equalWidth="0" w:num="1">
            <w:col w:w="10099"/>
          </w:cols>
          <w:pgMar w:left="360" w:top="1440" w:right="1440" w:bottom="1440" w:gutter="0" w:footer="0" w:header="0"/>
        </w:sectPr>
      </w:pPr>
    </w:p>
    <w:bookmarkStart w:id="222" w:name="page223"/>
    <w:bookmarkEnd w:id="222"/>
    <w:p>
      <w:pPr>
        <w:spacing w:after="0" w:line="200" w:lineRule="exact"/>
        <w:rPr>
          <w:sz w:val="20"/>
          <w:szCs w:val="20"/>
          <w:color w:val="auto"/>
        </w:rPr>
      </w:pPr>
    </w:p>
    <w:p>
      <w:pPr>
        <w:spacing w:after="0" w:line="237"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22"/>
          <w:szCs w:val="22"/>
          <w:b w:val="1"/>
          <w:bCs w:val="1"/>
          <w:color w:val="auto"/>
        </w:rPr>
        <w:t>UNITED AIRLINES HOLDINGS, INC.</w:t>
      </w:r>
    </w:p>
    <w:p>
      <w:pPr>
        <w:spacing w:after="0" w:line="200" w:lineRule="exact"/>
        <w:rPr>
          <w:sz w:val="20"/>
          <w:szCs w:val="20"/>
          <w:color w:val="auto"/>
        </w:rPr>
      </w:pPr>
    </w:p>
    <w:p>
      <w:pPr>
        <w:spacing w:after="0" w:line="294" w:lineRule="exact"/>
        <w:rPr>
          <w:sz w:val="20"/>
          <w:szCs w:val="20"/>
          <w:color w:val="auto"/>
        </w:rPr>
      </w:pPr>
    </w:p>
    <w:p>
      <w:pPr>
        <w:ind w:left="3860"/>
        <w:spacing w:after="0"/>
        <w:tabs>
          <w:tab w:leader="none" w:pos="43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 Eric Harder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-13970</wp:posOffset>
            </wp:positionV>
            <wp:extent cx="1203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47">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J. Eric Harder</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UAL 2026 – SRG Term Loan Amendment No. 4</w:t>
      </w:r>
    </w:p>
    <w:p>
      <w:pPr>
        <w:sectPr>
          <w:pgSz w:w="11900" w:h="16838" w:orient="portrait"/>
          <w:cols w:equalWidth="0" w:num="1">
            <w:col w:w="10099"/>
          </w:cols>
          <w:pgMar w:left="360" w:top="1440" w:right="1440"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20"/>
          <w:szCs w:val="20"/>
          <w:b w:val="1"/>
          <w:bCs w:val="1"/>
          <w:color w:val="auto"/>
        </w:rPr>
        <w:t>UNITED AIRLINES HOLDINGS, INC. SECURITIES TRADING</w:t>
      </w:r>
    </w:p>
    <w:p>
      <w:pPr>
        <w:spacing w:after="0" w:line="32"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20"/>
          <w:szCs w:val="20"/>
          <w:b w:val="1"/>
          <w:bCs w:val="1"/>
          <w:color w:val="auto"/>
        </w:rPr>
        <w:t>POLICY</w:t>
      </w:r>
    </w:p>
    <w:p>
      <w:pPr>
        <w:spacing w:after="0" w:line="237"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20"/>
          <w:szCs w:val="20"/>
          <w:b w:val="1"/>
          <w:bCs w:val="1"/>
          <w:color w:val="auto"/>
        </w:rPr>
        <w:t>Revised: January 1, 2026</w:t>
      </w:r>
    </w:p>
    <w:p>
      <w:pPr>
        <w:spacing w:after="0" w:line="265" w:lineRule="exact"/>
        <w:rPr>
          <w:sz w:val="20"/>
          <w:szCs w:val="20"/>
          <w:color w:val="auto"/>
        </w:rPr>
      </w:pPr>
    </w:p>
    <w:p>
      <w:pPr>
        <w:jc w:val="both"/>
        <w:ind w:left="106" w:right="220"/>
        <w:spacing w:after="0" w:line="258" w:lineRule="auto"/>
        <w:rPr>
          <w:sz w:val="20"/>
          <w:szCs w:val="20"/>
          <w:color w:val="auto"/>
        </w:rPr>
      </w:pPr>
      <w:r>
        <w:rPr>
          <w:rFonts w:ascii="Times New Roman" w:cs="Times New Roman" w:eastAsia="Times New Roman" w:hAnsi="Times New Roman"/>
          <w:sz w:val="18"/>
          <w:szCs w:val="18"/>
          <w:color w:val="auto"/>
        </w:rPr>
        <w:t>The Code of Ethics and Business Conduct and this United Airlines Holdings, Inc. Securities Trading Policy (“Securities Trading Policy”) describe the limitations on trading activities in securities of United Airlines Holdings, Inc., United Airlines, Inc. and their respective subsidiaries (collectively, the “Company”) and certain other companies by members of the United Airlines Holdings, Inc. Board of Directors (“Company board directors”), officers of United Airlines Holdings, Inc. and United Airlines, Inc. (“Company officers”) and the Company’s employees and contractors (including Company officers, collectively, “Company employees and contractors”).</w:t>
      </w:r>
    </w:p>
    <w:p>
      <w:pPr>
        <w:spacing w:after="0" w:line="224" w:lineRule="exact"/>
        <w:rPr>
          <w:sz w:val="20"/>
          <w:szCs w:val="20"/>
          <w:color w:val="auto"/>
        </w:rPr>
      </w:pPr>
    </w:p>
    <w:p>
      <w:pPr>
        <w:jc w:val="both"/>
        <w:ind w:left="106" w:right="180"/>
        <w:spacing w:after="0" w:line="266" w:lineRule="auto"/>
        <w:rPr>
          <w:sz w:val="20"/>
          <w:szCs w:val="20"/>
          <w:color w:val="auto"/>
        </w:rPr>
      </w:pPr>
      <w:r>
        <w:rPr>
          <w:rFonts w:ascii="Times New Roman" w:cs="Times New Roman" w:eastAsia="Times New Roman" w:hAnsi="Times New Roman"/>
          <w:sz w:val="18"/>
          <w:szCs w:val="18"/>
          <w:color w:val="auto"/>
        </w:rPr>
        <w:t>The purpose of the Securities Trading Policy is to establish the Company’s expectations regarding compliance with securities laws and regulations and any applicable federal, state or foreign securities laws regarding trading in Securities (as defined herein). This Securities Trading Policy is intended to provide a general understanding of these securities laws to prevent unintentional as well as intentional violations of these laws.</w:t>
      </w:r>
    </w:p>
    <w:p>
      <w:pPr>
        <w:spacing w:after="0" w:line="212" w:lineRule="exact"/>
        <w:rPr>
          <w:sz w:val="20"/>
          <w:szCs w:val="20"/>
          <w:color w:val="auto"/>
        </w:rPr>
      </w:pPr>
    </w:p>
    <w:p>
      <w:pPr>
        <w:ind w:left="646" w:hanging="646"/>
        <w:spacing w:after="0"/>
        <w:tabs>
          <w:tab w:leader="none" w:pos="64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Trading While in Possession of Material Nonpublic Information</w:t>
      </w:r>
      <w:r>
        <w:rPr>
          <w:rFonts w:ascii="Times New Roman" w:cs="Times New Roman" w:eastAsia="Times New Roman" w:hAnsi="Times New Roman"/>
          <w:sz w:val="18"/>
          <w:szCs w:val="18"/>
          <w:color w:val="auto"/>
        </w:rPr>
        <w:t>.</w:t>
      </w:r>
    </w:p>
    <w:p>
      <w:pPr>
        <w:spacing w:after="0" w:line="337" w:lineRule="exact"/>
        <w:rPr>
          <w:rFonts w:ascii="Times New Roman" w:cs="Times New Roman" w:eastAsia="Times New Roman" w:hAnsi="Times New Roman"/>
          <w:sz w:val="18"/>
          <w:szCs w:val="18"/>
          <w:b w:val="1"/>
          <w:bCs w:val="1"/>
          <w:color w:val="auto"/>
        </w:rPr>
      </w:pPr>
    </w:p>
    <w:p>
      <w:pPr>
        <w:ind w:left="6" w:right="120" w:firstLine="643"/>
        <w:spacing w:after="0" w:line="253" w:lineRule="auto"/>
        <w:tabs>
          <w:tab w:leader="none" w:pos="1193"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board directors and Company employees and contractors may not trade UAL Securities (as defined herein) while in possession of material nonpublic information concerning the Company (unless such trade is made pursuant to a properly qualified, adopted and submitted Rule 10b5-1 trading plan as described below), regardless of whether a blackout period is in effect, or disclose such information to others who might use it for trading or might pass it along to others who might trade based on such information (known as “tipping”). Trading includes not only buying or selling Securities, but also gifting Securities. Similarly, Company board directors and Company employees and contractors who in the course of conducting their Company duties receive material nonpublic information about any of the Company’s Competitors (as defined below), as well as suppliers, vendors and customers with whom the Company has a material relationship, are prohibited from purchasing or selling Securities of such entity while in possession of material nonpublic information concerning such entity. In addition, trading UAL Securities in a Company sponsored 401(k) plan while in possession of material nonpublic information relating to the Company is prohibited. Furthermore, the Company will not trade in UAL Securities in violation of applicable securities laws or stock exchange listing standards.</w:t>
      </w:r>
    </w:p>
    <w:p>
      <w:pPr>
        <w:spacing w:after="0" w:line="221" w:lineRule="exact"/>
        <w:rPr>
          <w:rFonts w:ascii="Times New Roman" w:cs="Times New Roman" w:eastAsia="Times New Roman" w:hAnsi="Times New Roman"/>
          <w:sz w:val="18"/>
          <w:szCs w:val="18"/>
          <w:b w:val="1"/>
          <w:bCs w:val="1"/>
          <w:color w:val="auto"/>
        </w:rPr>
      </w:pPr>
    </w:p>
    <w:p>
      <w:pPr>
        <w:ind w:left="6" w:right="140" w:firstLine="642"/>
        <w:spacing w:after="0" w:line="258" w:lineRule="auto"/>
        <w:tabs>
          <w:tab w:leader="none" w:pos="1182"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is “material” if there is a substantial likelihood that a reasonable investor would consider it important in deciding whether to trade in a company’s Securities or if the information is likely to have a significant effect on the market price for the Security. Information may be significant for this purpose even if it would not alone determine the investor’s decision. Material information can be favorable or unfavorable and can relate to virtually any aspect of a company’s business or to any type of Security, whether debt or equity. While it is not possible to compile an exhaustive list, information concerning any of the following items should be considered carefully to determine whether such information is material:</w:t>
      </w:r>
    </w:p>
    <w:p>
      <w:pPr>
        <w:sectPr>
          <w:pgSz w:w="11900" w:h="16838" w:orient="portrait"/>
          <w:cols w:equalWidth="0" w:num="1">
            <w:col w:w="11126"/>
          </w:cols>
          <w:pgMar w:left="434" w:top="117" w:right="339" w:bottom="1440" w:gutter="0" w:footer="0" w:header="0"/>
        </w:sectPr>
      </w:pPr>
    </w:p>
    <w:bookmarkStart w:id="224" w:name="page225"/>
    <w:bookmarkEnd w:id="224"/>
    <w:tbl>
      <w:tblPr>
        <w:tblLayout w:type="fixed"/>
        <w:tblInd w:w="10" w:type="dxa"/>
        <w:tblCellMar>
          <w:top w:w="0" w:type="dxa"/>
          <w:left w:w="0" w:type="dxa"/>
          <w:bottom w:w="0" w:type="dxa"/>
          <w:right w:w="0" w:type="dxa"/>
        </w:tblCellMar>
      </w:tblPr>
      <w:tr>
        <w:trPr>
          <w:trHeight w:val="189"/>
        </w:trPr>
        <w:tc>
          <w:tcPr>
            <w:tcW w:w="5440" w:type="dxa"/>
            <w:vAlign w:val="bottom"/>
            <w:tcBorders>
              <w:top w:val="single" w:sz="8" w:color="auto"/>
              <w:left w:val="single" w:sz="8" w:color="auto"/>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Earnings, including investor guidance or information related to whether</w:t>
            </w:r>
          </w:p>
        </w:tc>
        <w:tc>
          <w:tcPr>
            <w:tcW w:w="5440" w:type="dxa"/>
            <w:vAlign w:val="bottom"/>
            <w:tcBorders>
              <w:top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Changes in executive compensation policy</w:t>
            </w:r>
          </w:p>
        </w:tc>
      </w:tr>
      <w:tr>
        <w:trPr>
          <w:trHeight w:val="239"/>
        </w:trPr>
        <w:tc>
          <w:tcPr>
            <w:tcW w:w="54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company will or will not meet investor expectations</w:t>
            </w:r>
          </w:p>
        </w:tc>
        <w:tc>
          <w:tcPr>
            <w:tcW w:w="5440" w:type="dxa"/>
            <w:vAlign w:val="bottom"/>
            <w:tcBorders>
              <w:bottom w:val="single" w:sz="8" w:color="auto"/>
              <w:right w:val="single" w:sz="8" w:color="auto"/>
            </w:tcBorders>
          </w:tcPr>
          <w:p>
            <w:pPr>
              <w:spacing w:after="0"/>
              <w:rPr>
                <w:sz w:val="20"/>
                <w:szCs w:val="20"/>
                <w:color w:val="auto"/>
              </w:rPr>
            </w:pPr>
          </w:p>
        </w:tc>
      </w:tr>
      <w:tr>
        <w:trPr>
          <w:trHeight w:val="222"/>
        </w:trPr>
        <w:tc>
          <w:tcPr>
            <w:tcW w:w="5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 and unit revenue</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change in auditors or auditor notification that the company may no</w:t>
            </w:r>
          </w:p>
        </w:tc>
      </w:tr>
      <w:tr>
        <w:trPr>
          <w:trHeight w:val="234"/>
        </w:trPr>
        <w:tc>
          <w:tcPr>
            <w:tcW w:w="5440" w:type="dxa"/>
            <w:vAlign w:val="bottom"/>
            <w:tcBorders>
              <w:left w:val="single" w:sz="8" w:color="auto"/>
              <w:right w:val="single" w:sz="8" w:color="auto"/>
            </w:tcBorders>
          </w:tcPr>
          <w:p>
            <w:pPr>
              <w:spacing w:after="0"/>
              <w:rPr>
                <w:sz w:val="20"/>
                <w:szCs w:val="20"/>
                <w:color w:val="auto"/>
              </w:rPr>
            </w:pP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longer rely on an audit report</w:t>
            </w:r>
          </w:p>
        </w:tc>
      </w:tr>
      <w:tr>
        <w:trPr>
          <w:trHeight w:val="27"/>
        </w:trPr>
        <w:tc>
          <w:tcPr>
            <w:tcW w:w="5440" w:type="dxa"/>
            <w:vAlign w:val="bottom"/>
            <w:tcBorders>
              <w:left w:val="single" w:sz="8" w:color="auto"/>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16"/>
        </w:trPr>
        <w:tc>
          <w:tcPr>
            <w:tcW w:w="5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Changes in capacity or capacity issues</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Financings (through Securities issuances or otherwise) and other events</w:t>
            </w:r>
          </w:p>
        </w:tc>
      </w:tr>
      <w:tr>
        <w:trPr>
          <w:trHeight w:val="218"/>
        </w:trPr>
        <w:tc>
          <w:tcPr>
            <w:tcW w:w="5440" w:type="dxa"/>
            <w:vAlign w:val="bottom"/>
            <w:tcBorders>
              <w:left w:val="single" w:sz="8" w:color="auto"/>
              <w:right w:val="single" w:sz="8" w:color="auto"/>
            </w:tcBorders>
          </w:tcPr>
          <w:p>
            <w:pPr>
              <w:spacing w:after="0"/>
              <w:rPr>
                <w:sz w:val="18"/>
                <w:szCs w:val="18"/>
                <w:color w:val="auto"/>
              </w:rPr>
            </w:pP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regarding the company’s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defaults on debt Securities,</w:t>
            </w:r>
          </w:p>
        </w:tc>
      </w:tr>
      <w:tr>
        <w:trPr>
          <w:trHeight w:val="216"/>
        </w:trPr>
        <w:tc>
          <w:tcPr>
            <w:tcW w:w="5440" w:type="dxa"/>
            <w:vAlign w:val="bottom"/>
            <w:tcBorders>
              <w:left w:val="single" w:sz="8" w:color="auto"/>
              <w:right w:val="single" w:sz="8" w:color="auto"/>
            </w:tcBorders>
          </w:tcPr>
          <w:p>
            <w:pPr>
              <w:spacing w:after="0"/>
              <w:rPr>
                <w:sz w:val="18"/>
                <w:szCs w:val="18"/>
                <w:color w:val="auto"/>
              </w:rPr>
            </w:pP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calls of Securities for redemption, repurchase plans, stock splits, public</w:t>
            </w:r>
          </w:p>
        </w:tc>
      </w:tr>
      <w:tr>
        <w:trPr>
          <w:trHeight w:val="234"/>
        </w:trPr>
        <w:tc>
          <w:tcPr>
            <w:tcW w:w="5440" w:type="dxa"/>
            <w:vAlign w:val="bottom"/>
            <w:tcBorders>
              <w:left w:val="single" w:sz="8" w:color="auto"/>
              <w:right w:val="single" w:sz="8" w:color="auto"/>
            </w:tcBorders>
          </w:tcPr>
          <w:p>
            <w:pPr>
              <w:spacing w:after="0"/>
              <w:rPr>
                <w:sz w:val="20"/>
                <w:szCs w:val="20"/>
                <w:color w:val="auto"/>
              </w:rPr>
            </w:pP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or private sales of additional Securities)</w:t>
            </w:r>
          </w:p>
        </w:tc>
      </w:tr>
      <w:tr>
        <w:trPr>
          <w:trHeight w:val="27"/>
        </w:trPr>
        <w:tc>
          <w:tcPr>
            <w:tcW w:w="5440" w:type="dxa"/>
            <w:vAlign w:val="bottom"/>
            <w:tcBorders>
              <w:left w:val="single" w:sz="8" w:color="auto"/>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37"/>
        </w:trPr>
        <w:tc>
          <w:tcPr>
            <w:tcW w:w="5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Bookings</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Material cybersecurity incidents</w:t>
            </w:r>
          </w:p>
        </w:tc>
      </w:tr>
      <w:tr>
        <w:trPr>
          <w:trHeight w:val="40"/>
        </w:trPr>
        <w:tc>
          <w:tcPr>
            <w:tcW w:w="5440" w:type="dxa"/>
            <w:vAlign w:val="bottom"/>
            <w:tcBorders>
              <w:left w:val="single" w:sz="8" w:color="auto"/>
              <w:bottom w:val="single" w:sz="8" w:color="auto"/>
              <w:right w:val="single" w:sz="8" w:color="auto"/>
            </w:tcBorders>
          </w:tcPr>
          <w:p>
            <w:pPr>
              <w:spacing w:after="0"/>
              <w:rPr>
                <w:sz w:val="3"/>
                <w:szCs w:val="3"/>
                <w:color w:val="auto"/>
              </w:rPr>
            </w:pPr>
          </w:p>
        </w:tc>
        <w:tc>
          <w:tcPr>
            <w:tcW w:w="5440" w:type="dxa"/>
            <w:vAlign w:val="bottom"/>
            <w:tcBorders>
              <w:bottom w:val="single" w:sz="8" w:color="auto"/>
              <w:right w:val="single" w:sz="8" w:color="auto"/>
            </w:tcBorders>
          </w:tcPr>
          <w:p>
            <w:pPr>
              <w:spacing w:after="0"/>
              <w:rPr>
                <w:sz w:val="3"/>
                <w:szCs w:val="3"/>
                <w:color w:val="auto"/>
              </w:rPr>
            </w:pPr>
          </w:p>
        </w:tc>
      </w:tr>
      <w:tr>
        <w:trPr>
          <w:trHeight w:val="237"/>
        </w:trPr>
        <w:tc>
          <w:tcPr>
            <w:tcW w:w="5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Route information</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Material litigation</w:t>
            </w:r>
          </w:p>
        </w:tc>
      </w:tr>
      <w:tr>
        <w:trPr>
          <w:trHeight w:val="41"/>
        </w:trPr>
        <w:tc>
          <w:tcPr>
            <w:tcW w:w="5440" w:type="dxa"/>
            <w:vAlign w:val="bottom"/>
            <w:tcBorders>
              <w:left w:val="single" w:sz="8" w:color="auto"/>
              <w:bottom w:val="single" w:sz="8" w:color="auto"/>
              <w:right w:val="single" w:sz="8" w:color="auto"/>
            </w:tcBorders>
          </w:tcPr>
          <w:p>
            <w:pPr>
              <w:spacing w:after="0"/>
              <w:rPr>
                <w:sz w:val="3"/>
                <w:szCs w:val="3"/>
                <w:color w:val="auto"/>
              </w:rPr>
            </w:pPr>
          </w:p>
        </w:tc>
        <w:tc>
          <w:tcPr>
            <w:tcW w:w="5440" w:type="dxa"/>
            <w:vAlign w:val="bottom"/>
            <w:tcBorders>
              <w:bottom w:val="single" w:sz="8" w:color="auto"/>
              <w:right w:val="single" w:sz="8" w:color="auto"/>
            </w:tcBorders>
          </w:tcPr>
          <w:p>
            <w:pPr>
              <w:spacing w:after="0"/>
              <w:rPr>
                <w:sz w:val="3"/>
                <w:szCs w:val="3"/>
                <w:color w:val="auto"/>
              </w:rPr>
            </w:pPr>
          </w:p>
        </w:tc>
      </w:tr>
      <w:tr>
        <w:trPr>
          <w:trHeight w:val="237"/>
        </w:trPr>
        <w:tc>
          <w:tcPr>
            <w:tcW w:w="5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Costs and unit costs</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Bankruptcy, corporate restructuring or receivership</w:t>
            </w:r>
          </w:p>
        </w:tc>
      </w:tr>
      <w:tr>
        <w:trPr>
          <w:trHeight w:val="27"/>
        </w:trPr>
        <w:tc>
          <w:tcPr>
            <w:tcW w:w="5440" w:type="dxa"/>
            <w:vAlign w:val="bottom"/>
            <w:tcBorders>
              <w:left w:val="single" w:sz="8" w:color="auto"/>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37"/>
        </w:trPr>
        <w:tc>
          <w:tcPr>
            <w:tcW w:w="5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Changes to capital expenditures</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Changes in board composition</w:t>
            </w:r>
          </w:p>
        </w:tc>
      </w:tr>
      <w:tr>
        <w:trPr>
          <w:trHeight w:val="27"/>
        </w:trPr>
        <w:tc>
          <w:tcPr>
            <w:tcW w:w="5440" w:type="dxa"/>
            <w:vAlign w:val="bottom"/>
            <w:tcBorders>
              <w:left w:val="single" w:sz="8" w:color="auto"/>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18"/>
        </w:trPr>
        <w:tc>
          <w:tcPr>
            <w:tcW w:w="5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Mergers, acquisitions, tender offers, joint ventures, significant</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events that are typically part of the ordinary course of business but</w:t>
            </w:r>
          </w:p>
        </w:tc>
      </w:tr>
      <w:tr>
        <w:trPr>
          <w:trHeight w:val="214"/>
        </w:trPr>
        <w:tc>
          <w:tcPr>
            <w:tcW w:w="5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investments or changes in assets</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occasionally may be so significant that they are expected to have a</w:t>
            </w:r>
          </w:p>
        </w:tc>
      </w:tr>
      <w:tr>
        <w:trPr>
          <w:trHeight w:val="218"/>
        </w:trPr>
        <w:tc>
          <w:tcPr>
            <w:tcW w:w="5440" w:type="dxa"/>
            <w:vAlign w:val="bottom"/>
            <w:tcBorders>
              <w:left w:val="single" w:sz="8" w:color="auto"/>
              <w:right w:val="single" w:sz="8" w:color="auto"/>
            </w:tcBorders>
          </w:tcPr>
          <w:p>
            <w:pPr>
              <w:spacing w:after="0"/>
              <w:rPr>
                <w:sz w:val="18"/>
                <w:szCs w:val="18"/>
                <w:color w:val="auto"/>
              </w:rPr>
            </w:pP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material impact on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strategic plans, aircraft orders and</w:t>
            </w:r>
          </w:p>
        </w:tc>
      </w:tr>
      <w:tr>
        <w:trPr>
          <w:trHeight w:val="216"/>
        </w:trPr>
        <w:tc>
          <w:tcPr>
            <w:tcW w:w="5440" w:type="dxa"/>
            <w:vAlign w:val="bottom"/>
            <w:tcBorders>
              <w:left w:val="single" w:sz="8" w:color="auto"/>
              <w:right w:val="single" w:sz="8" w:color="auto"/>
            </w:tcBorders>
          </w:tcPr>
          <w:p>
            <w:pPr>
              <w:spacing w:after="0"/>
              <w:rPr>
                <w:sz w:val="18"/>
                <w:szCs w:val="18"/>
                <w:color w:val="auto"/>
              </w:rPr>
            </w:pP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modifications, labor issues, airport matters, contracts with regional</w:t>
            </w:r>
          </w:p>
        </w:tc>
      </w:tr>
      <w:tr>
        <w:trPr>
          <w:trHeight w:val="234"/>
        </w:trPr>
        <w:tc>
          <w:tcPr>
            <w:tcW w:w="5440" w:type="dxa"/>
            <w:vAlign w:val="bottom"/>
            <w:tcBorders>
              <w:left w:val="single" w:sz="8" w:color="auto"/>
              <w:right w:val="single" w:sz="8" w:color="auto"/>
            </w:tcBorders>
          </w:tcPr>
          <w:p>
            <w:pPr>
              <w:spacing w:after="0"/>
              <w:rPr>
                <w:sz w:val="20"/>
                <w:szCs w:val="20"/>
                <w:color w:val="auto"/>
              </w:rPr>
            </w:pP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carriers, licensing arrangements, etc.)</w:t>
            </w:r>
          </w:p>
        </w:tc>
      </w:tr>
      <w:tr>
        <w:trPr>
          <w:trHeight w:val="27"/>
        </w:trPr>
        <w:tc>
          <w:tcPr>
            <w:tcW w:w="5440" w:type="dxa"/>
            <w:vAlign w:val="bottom"/>
            <w:tcBorders>
              <w:left w:val="single" w:sz="8" w:color="auto"/>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37"/>
        </w:trPr>
        <w:tc>
          <w:tcPr>
            <w:tcW w:w="5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Changes in control or senior management</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Gains or losses in major customers or suppliers</w:t>
            </w:r>
          </w:p>
        </w:tc>
      </w:tr>
      <w:tr>
        <w:trPr>
          <w:trHeight w:val="27"/>
        </w:trPr>
        <w:tc>
          <w:tcPr>
            <w:tcW w:w="5440" w:type="dxa"/>
            <w:vAlign w:val="bottom"/>
            <w:tcBorders>
              <w:left w:val="single" w:sz="8" w:color="auto"/>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3"/>
        <w:spacing w:after="0" w:line="254" w:lineRule="auto"/>
        <w:tabs>
          <w:tab w:leader="none" w:pos="1186"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is “nonpublic” if it has not been made available to the general public. In order for information to be considered public, it must be widely disseminated in a manner making it generally available to the public, such as to the wire services through a press release or through a filing with the Securities and Exchange Commission (the “SEC”), and the public must have had a reasonable period of time to react to the information. Generally, at least one full Trading Day (as defined herein) must have elapsed after the information has been disseminated to the public for the information to no longer be considered “nonpublic.” For example, if the Company issues a press release containing material information at 6:00 p.m. on a Tuesday and the Nasdaq Stock Market is open for trading on Wednesday, the information is considered released to the public for purposes of trading on Thursday. If the Company issues a press release containing material information at 6:00 p.m. on a Friday and the Nasdaq Stock Market is open for trading on Monday, the information is considered released to the public for purposes of trading on Tuesday. You should assume that the circulation of rumors, even if accurate and reported in the media, does not constitute effective public dissemination.</w:t>
      </w:r>
    </w:p>
    <w:p>
      <w:pPr>
        <w:spacing w:after="0" w:line="215" w:lineRule="exact"/>
        <w:rPr>
          <w:rFonts w:ascii="Times New Roman" w:cs="Times New Roman" w:eastAsia="Times New Roman" w:hAnsi="Times New Roman"/>
          <w:sz w:val="18"/>
          <w:szCs w:val="18"/>
          <w:b w:val="1"/>
          <w:bCs w:val="1"/>
          <w:color w:val="auto"/>
        </w:rPr>
      </w:pPr>
    </w:p>
    <w:p>
      <w:pPr>
        <w:ind w:right="560" w:firstLine="644"/>
        <w:spacing w:after="0" w:line="289" w:lineRule="auto"/>
        <w:tabs>
          <w:tab w:leader="none" w:pos="1187" w:val="left"/>
        </w:tabs>
        <w:numPr>
          <w:ilvl w:val="0"/>
          <w:numId w:val="1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Securities Trading Policy generally applies to all Securities that are “beneficially owned” by Company board directors and Company employees and contractors. You are expected to be responsible for the compliance of your immediate family members (i.e., your spouse, parents, children, siblings, mothers and fathers-in-law, sons and daughters-in-law, brothers and sisters-in-law) and others living in your home.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440" w:top="1429" w:right="339" w:bottom="1440" w:gutter="0" w:footer="0" w:header="0"/>
        </w:sectPr>
      </w:pPr>
    </w:p>
    <w:bookmarkStart w:id="225" w:name="page226"/>
    <w:bookmarkEnd w:id="225"/>
    <w:p>
      <w:pPr>
        <w:ind w:left="5" w:right="160" w:hanging="5"/>
        <w:spacing w:after="0" w:line="256" w:lineRule="auto"/>
        <w:tabs>
          <w:tab w:leader="none" w:pos="545"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and Quarterly Earnings Results Blackout Periods</w:t>
      </w:r>
      <w:r>
        <w:rPr>
          <w:rFonts w:ascii="Times New Roman" w:cs="Times New Roman" w:eastAsia="Times New Roman" w:hAnsi="Times New Roman"/>
          <w:sz w:val="18"/>
          <w:szCs w:val="18"/>
          <w:color w:val="auto"/>
        </w:rPr>
        <w:t>. Company board directors, Company officers, members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Council and Designated M&amp;A Employees (as defined and described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which appendix may be amended from time to time) may not buy or sell UAL Securities during the following periods: (1) </w:t>
      </w:r>
      <w:r>
        <w:rPr>
          <w:rFonts w:ascii="Times New Roman" w:cs="Times New Roman" w:eastAsia="Times New Roman" w:hAnsi="Times New Roman"/>
          <w:sz w:val="18"/>
          <w:szCs w:val="18"/>
          <w:u w:val="single" w:color="auto"/>
          <w:color w:val="auto"/>
        </w:rPr>
        <w:t>beginning</w:t>
      </w:r>
      <w:r>
        <w:rPr>
          <w:rFonts w:ascii="Times New Roman" w:cs="Times New Roman" w:eastAsia="Times New Roman" w:hAnsi="Times New Roman"/>
          <w:sz w:val="18"/>
          <w:szCs w:val="18"/>
          <w:color w:val="auto"/>
        </w:rPr>
        <w:t xml:space="preserve"> at the close of market on March 15th of the first fiscal quarter of each fiscal year, and </w:t>
      </w:r>
      <w:r>
        <w:rPr>
          <w:rFonts w:ascii="Times New Roman" w:cs="Times New Roman" w:eastAsia="Times New Roman" w:hAnsi="Times New Roman"/>
          <w:sz w:val="18"/>
          <w:szCs w:val="18"/>
          <w:u w:val="single" w:color="auto"/>
          <w:color w:val="auto"/>
        </w:rPr>
        <w:t>extending</w:t>
      </w:r>
      <w:r>
        <w:rPr>
          <w:rFonts w:ascii="Times New Roman" w:cs="Times New Roman" w:eastAsia="Times New Roman" w:hAnsi="Times New Roman"/>
          <w:sz w:val="18"/>
          <w:szCs w:val="18"/>
          <w:color w:val="auto"/>
        </w:rPr>
        <w:t xml:space="preserve"> through the close of market on the first full Trading Day following the date of release of the Company’s earnings results for the first fiscal quarter, and (2) </w:t>
      </w:r>
      <w:r>
        <w:rPr>
          <w:rFonts w:ascii="Times New Roman" w:cs="Times New Roman" w:eastAsia="Times New Roman" w:hAnsi="Times New Roman"/>
          <w:sz w:val="18"/>
          <w:szCs w:val="18"/>
          <w:u w:val="single" w:color="auto"/>
          <w:color w:val="auto"/>
        </w:rPr>
        <w:t>beginning</w:t>
      </w:r>
      <w:r>
        <w:rPr>
          <w:rFonts w:ascii="Times New Roman" w:cs="Times New Roman" w:eastAsia="Times New Roman" w:hAnsi="Times New Roman"/>
          <w:sz w:val="18"/>
          <w:szCs w:val="18"/>
          <w:color w:val="auto"/>
        </w:rPr>
        <w:t xml:space="preserve"> at the close of market on the last Trading Day of the second month of each of the second, third and fourth fiscal quarter (May, August and November) of each fiscal year, and </w:t>
      </w:r>
      <w:r>
        <w:rPr>
          <w:rFonts w:ascii="Times New Roman" w:cs="Times New Roman" w:eastAsia="Times New Roman" w:hAnsi="Times New Roman"/>
          <w:sz w:val="18"/>
          <w:szCs w:val="18"/>
          <w:u w:val="single" w:color="auto"/>
          <w:color w:val="auto"/>
        </w:rPr>
        <w:t>extending</w:t>
      </w:r>
      <w:r>
        <w:rPr>
          <w:rFonts w:ascii="Times New Roman" w:cs="Times New Roman" w:eastAsia="Times New Roman" w:hAnsi="Times New Roman"/>
          <w:sz w:val="18"/>
          <w:szCs w:val="18"/>
          <w:color w:val="auto"/>
        </w:rPr>
        <w:t xml:space="preserve"> through the close of market on the first full Trading Day following the date of release of the Company’s annual or quarterly earnings results for such applicable quarter.</w:t>
      </w:r>
    </w:p>
    <w:p>
      <w:pPr>
        <w:spacing w:after="0" w:line="214" w:lineRule="exact"/>
        <w:rPr>
          <w:sz w:val="20"/>
          <w:szCs w:val="20"/>
          <w:color w:val="auto"/>
        </w:rPr>
      </w:pPr>
    </w:p>
    <w:p>
      <w:pPr>
        <w:ind w:left="1305" w:right="1240"/>
        <w:spacing w:after="0" w:line="256" w:lineRule="auto"/>
        <w:rPr>
          <w:sz w:val="20"/>
          <w:szCs w:val="20"/>
          <w:color w:val="auto"/>
        </w:rPr>
      </w:pPr>
      <w:r>
        <w:rPr>
          <w:rFonts w:ascii="Times New Roman" w:cs="Times New Roman" w:eastAsia="Times New Roman" w:hAnsi="Times New Roman"/>
          <w:sz w:val="18"/>
          <w:szCs w:val="18"/>
          <w:color w:val="auto"/>
        </w:rPr>
        <w:t>Example: If the first quarter earnings results are scheduled to be released after the close of market on Tuesday, April 14, 2026, the blackout period would be in effect beginning at the close of market on March 15, 2026 and, would extend through the close of market on Wednesday, April 15, 2026, such that trading may begin on Thursday, April 16, 2026. If the second quarter earnings results are scheduled to be released after the close of market on Wednesday, July 15, 2026, the blackout period would be in effect beginning at the close of market on Friday, May 29, 2026, and would extend through the close of market on Thursday, July 16, 2026, such that trading may begin on Friday, July 17, 2026.</w:t>
      </w:r>
    </w:p>
    <w:p>
      <w:pPr>
        <w:spacing w:after="0" w:line="224" w:lineRule="exact"/>
        <w:rPr>
          <w:sz w:val="20"/>
          <w:szCs w:val="20"/>
          <w:color w:val="auto"/>
        </w:rPr>
      </w:pPr>
    </w:p>
    <w:p>
      <w:pPr>
        <w:ind w:left="5" w:right="120" w:hanging="5"/>
        <w:spacing w:after="0" w:line="255" w:lineRule="auto"/>
        <w:tabs>
          <w:tab w:leader="none" w:pos="545"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Special Blackout Periods</w:t>
      </w:r>
      <w:r>
        <w:rPr>
          <w:rFonts w:ascii="Times New Roman" w:cs="Times New Roman" w:eastAsia="Times New Roman" w:hAnsi="Times New Roman"/>
          <w:sz w:val="18"/>
          <w:szCs w:val="18"/>
          <w:color w:val="auto"/>
        </w:rPr>
        <w:t>. From time to time, the Company may establish special blackout periods or there may be a blackout period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sponsored 401(k) plans during which trading by certain Company board directors and Company employees and contractors in all or some UAL Securities will be prohibited. The Corporate Secretary’s Office and/or the plan administrator for the Company sponsored 401(k) plans, as applicable, will notify Company board directors and Company employees and contractors if any special blackout period is established. The existence of a special blackout period generally will not be announced but instead will generally be shared only with those who are aware of the event triggering the blackout. All those affected may not disclose to others that the Company has established a special blackout period. These special blackout periods are likely to occur only in the case of material pending corporate developments or where material changes are being made to the Company sponsored 401(k) plans.</w:t>
      </w:r>
    </w:p>
    <w:p>
      <w:pPr>
        <w:spacing w:after="0" w:line="211" w:lineRule="exact"/>
        <w:rPr>
          <w:rFonts w:ascii="Times New Roman" w:cs="Times New Roman" w:eastAsia="Times New Roman" w:hAnsi="Times New Roman"/>
          <w:sz w:val="18"/>
          <w:szCs w:val="18"/>
          <w:b w:val="1"/>
          <w:bCs w:val="1"/>
          <w:color w:val="auto"/>
        </w:rPr>
      </w:pPr>
    </w:p>
    <w:p>
      <w:pPr>
        <w:ind w:left="545" w:hanging="544"/>
        <w:spacing w:after="0"/>
        <w:tabs>
          <w:tab w:leader="none" w:pos="545"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Gifts</w:t>
      </w:r>
      <w:r>
        <w:rPr>
          <w:rFonts w:ascii="Times New Roman" w:cs="Times New Roman" w:eastAsia="Times New Roman" w:hAnsi="Times New Roman"/>
          <w:sz w:val="18"/>
          <w:szCs w:val="18"/>
          <w:color w:val="auto"/>
        </w:rPr>
        <w:t>. Bona fide gifts of UAL Securities are not permitted during any blackout period or at any time while the donor is in possession of</w:t>
      </w:r>
    </w:p>
    <w:p>
      <w:pPr>
        <w:spacing w:after="0" w:line="3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material nonpublic information concerning the Company.</w:t>
      </w:r>
    </w:p>
    <w:p>
      <w:pPr>
        <w:spacing w:after="0" w:line="243" w:lineRule="exact"/>
        <w:rPr>
          <w:sz w:val="20"/>
          <w:szCs w:val="20"/>
          <w:color w:val="auto"/>
        </w:rPr>
      </w:pPr>
    </w:p>
    <w:p>
      <w:pPr>
        <w:ind w:left="5" w:right="280" w:hanging="5"/>
        <w:spacing w:after="0" w:line="262" w:lineRule="auto"/>
        <w:tabs>
          <w:tab w:leader="none" w:pos="545"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Stock Options</w:t>
      </w:r>
      <w:r>
        <w:rPr>
          <w:rFonts w:ascii="Times New Roman" w:cs="Times New Roman" w:eastAsia="Times New Roman" w:hAnsi="Times New Roman"/>
          <w:sz w:val="18"/>
          <w:szCs w:val="18"/>
          <w:color w:val="auto"/>
        </w:rPr>
        <w:t>. The exercise of stock options under the Company’s equity incentive plans with a cash payment of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or by net exercise is exempt from this Securities Trading Policy. This exemption does not apply to the sale of any shares issued upon the exercise of any stock options and it does not apply to a “same-day-sale” exercise of stock options, which is accomplished by a sale of a portion of the shares issued upon exercise of an option.</w:t>
      </w:r>
    </w:p>
    <w:p>
      <w:pPr>
        <w:spacing w:after="0" w:line="216" w:lineRule="exact"/>
        <w:rPr>
          <w:rFonts w:ascii="Times New Roman" w:cs="Times New Roman" w:eastAsia="Times New Roman" w:hAnsi="Times New Roman"/>
          <w:sz w:val="18"/>
          <w:szCs w:val="18"/>
          <w:b w:val="1"/>
          <w:bCs w:val="1"/>
          <w:color w:val="auto"/>
        </w:rPr>
      </w:pPr>
    </w:p>
    <w:p>
      <w:pPr>
        <w:ind w:left="645" w:hanging="645"/>
        <w:spacing w:after="0"/>
        <w:tabs>
          <w:tab w:leader="none" w:pos="645"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Procedures and Penalties</w:t>
      </w:r>
      <w:r>
        <w:rPr>
          <w:rFonts w:ascii="Times New Roman" w:cs="Times New Roman" w:eastAsia="Times New Roman" w:hAnsi="Times New Roman"/>
          <w:sz w:val="18"/>
          <w:szCs w:val="18"/>
          <w:color w:val="auto"/>
        </w:rPr>
        <w:t>.</w:t>
      </w:r>
    </w:p>
    <w:p>
      <w:pPr>
        <w:spacing w:after="0" w:line="346" w:lineRule="exact"/>
        <w:rPr>
          <w:rFonts w:ascii="Times New Roman" w:cs="Times New Roman" w:eastAsia="Times New Roman" w:hAnsi="Times New Roman"/>
          <w:sz w:val="18"/>
          <w:szCs w:val="18"/>
          <w:b w:val="1"/>
          <w:bCs w:val="1"/>
          <w:color w:val="auto"/>
        </w:rPr>
      </w:pPr>
    </w:p>
    <w:p>
      <w:pPr>
        <w:ind w:left="5" w:right="160" w:firstLine="648"/>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Pre-Clearance of All Trades Required for Company board directors and Company Officers</w:t>
      </w:r>
      <w:r>
        <w:rPr>
          <w:rFonts w:ascii="Times New Roman" w:cs="Times New Roman" w:eastAsia="Times New Roman" w:hAnsi="Times New Roman"/>
          <w:sz w:val="18"/>
          <w:szCs w:val="18"/>
          <w:color w:val="auto"/>
        </w:rPr>
        <w:t>. All Company board directors and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well as any other management and administrative employees of the Company (“M&amp;A employees”) identified by the Company’s President, Chief Financial Officer or Chief Legal Officer, are required to pre-clear all transactions in UAL Securities with the Corporate Secretary’s Office. In this regard, transactions would be deemed to include, among others, purchasing or selling UAL Securities held in a personal brokerage or other investment account (including within the Company sponsored 401(k) plans), adopting or amending any Rule 10b5-1 plan, exercising stock options (except as noted in Section 5 above), making a gift and transferring UAL Securities to or from a trust.</w:t>
      </w:r>
    </w:p>
    <w:p>
      <w:pPr>
        <w:spacing w:after="0" w:line="213" w:lineRule="exact"/>
        <w:rPr>
          <w:sz w:val="20"/>
          <w:szCs w:val="20"/>
          <w:color w:val="auto"/>
        </w:rPr>
      </w:pPr>
    </w:p>
    <w:p>
      <w:pPr>
        <w:jc w:val="both"/>
        <w:ind w:left="5" w:right="160" w:firstLine="647"/>
        <w:spacing w:after="0" w:line="266" w:lineRule="auto"/>
        <w:rPr>
          <w:sz w:val="20"/>
          <w:szCs w:val="20"/>
          <w:color w:val="auto"/>
        </w:rPr>
      </w:pPr>
      <w:r>
        <w:rPr>
          <w:rFonts w:ascii="Times New Roman" w:cs="Times New Roman" w:eastAsia="Times New Roman" w:hAnsi="Times New Roman"/>
          <w:sz w:val="18"/>
          <w:szCs w:val="18"/>
          <w:color w:val="auto"/>
        </w:rPr>
        <w:t>To allow for orderly preparation of forms, please pre-clear transactions 3 - 5 business days in advance of the intended trade date. If a proposed transaction receives pre-clearance, the pre-cleared trade must be effected within the time period stated in the pre-clearance communication. Transactions not effected within the time limit become subject to pre-clearance again.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5"/>
          </w:cols>
          <w:pgMar w:left="435" w:top="1413" w:right="339" w:bottom="1440" w:gutter="0" w:footer="0" w:header="0"/>
        </w:sectPr>
      </w:pPr>
    </w:p>
    <w:bookmarkStart w:id="226" w:name="page227"/>
    <w:bookmarkEnd w:id="226"/>
    <w:p>
      <w:pPr>
        <w:spacing w:after="0" w:line="149" w:lineRule="exact"/>
        <w:rPr>
          <w:sz w:val="20"/>
          <w:szCs w:val="20"/>
          <w:color w:val="auto"/>
        </w:rPr>
      </w:pPr>
    </w:p>
    <w:p>
      <w:pPr>
        <w:ind w:left="4"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If the individual subject to this limitation possesses material nonpublic information relating to the Company, he or she should refrain from engaging in any transactions in UAL Securities regardless of whether pre-clearance was obtained. If pre-clearance is denied, then you shall refrain from initiating any transaction in UAL Securities and shall not inform any other person of the restriction.</w:t>
      </w:r>
    </w:p>
    <w:p>
      <w:pPr>
        <w:spacing w:after="0" w:line="202" w:lineRule="exact"/>
        <w:rPr>
          <w:sz w:val="20"/>
          <w:szCs w:val="20"/>
          <w:color w:val="auto"/>
        </w:rPr>
      </w:pPr>
    </w:p>
    <w:p>
      <w:pPr>
        <w:ind w:left="4" w:right="260" w:firstLine="648"/>
        <w:spacing w:after="0" w:line="258" w:lineRule="auto"/>
        <w:rPr>
          <w:sz w:val="20"/>
          <w:szCs w:val="20"/>
          <w:color w:val="auto"/>
        </w:rPr>
      </w:pPr>
      <w:r>
        <w:rPr>
          <w:rFonts w:ascii="Times New Roman" w:cs="Times New Roman" w:eastAsia="Times New Roman" w:hAnsi="Times New Roman"/>
          <w:sz w:val="18"/>
          <w:szCs w:val="18"/>
          <w:color w:val="auto"/>
        </w:rPr>
        <w:t>If you are not subject to the pre-clearance requirement, certain restrictions under the Employee Retirement Income Securities Act of 1974 and the Internal Revenue Code of 1986 generally prevent the plan administrator of the Company sponsored 401(k) plans from actively monitoring and preventing your ability to trade in UAL Securities under the Company sponsored 401(k) plans (except in the case of special blackout periods described in Section 3 above). Nevertheless, the insider trading and blackout period rules described in Sections 1 and 2 above still apply and you are responsible for conducting your 401(k) plan trading activities in accordance with this Securities Trading Policy.</w:t>
      </w:r>
    </w:p>
    <w:p>
      <w:pPr>
        <w:spacing w:after="0" w:line="224" w:lineRule="exact"/>
        <w:rPr>
          <w:sz w:val="20"/>
          <w:szCs w:val="20"/>
          <w:color w:val="auto"/>
        </w:rPr>
      </w:pPr>
    </w:p>
    <w:p>
      <w:pPr>
        <w:ind w:left="4" w:right="140" w:firstLine="644"/>
        <w:spacing w:after="0" w:line="256" w:lineRule="auto"/>
        <w:tabs>
          <w:tab w:leader="none" w:pos="1181"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Consultation With Company Encouraged</w:t>
      </w:r>
      <w:r>
        <w:rPr>
          <w:rFonts w:ascii="Times New Roman" w:cs="Times New Roman" w:eastAsia="Times New Roman" w:hAnsi="Times New Roman"/>
          <w:sz w:val="18"/>
          <w:szCs w:val="18"/>
          <w:color w:val="auto"/>
        </w:rPr>
        <w:t>. Regulators, the courts, the public and the media often utilize hindsight in determining what is material. Because of the personal legal liability and perception issues that arise when questionable transactions are viewed with hindsight, the Company strongly recommends that you not trade when you have doubts about the propriety of a particular transaction. For questions regarding whether particular information is material or whether information has been made available to the general public, please contact the Corporate Secretary’s Office at CSOffice@united.com. However, because of the personal legal liability and perception issues that arise when questionable transactions are viewed with hindsight, the Company strongly recommends that you not trade when you have doubts about the propriety of a particular transaction.</w:t>
      </w:r>
    </w:p>
    <w:p>
      <w:pPr>
        <w:spacing w:after="0" w:line="227" w:lineRule="exact"/>
        <w:rPr>
          <w:rFonts w:ascii="Times New Roman" w:cs="Times New Roman" w:eastAsia="Times New Roman" w:hAnsi="Times New Roman"/>
          <w:sz w:val="18"/>
          <w:szCs w:val="18"/>
          <w:b w:val="1"/>
          <w:bCs w:val="1"/>
          <w:color w:val="auto"/>
        </w:rPr>
      </w:pPr>
    </w:p>
    <w:p>
      <w:pPr>
        <w:ind w:left="4" w:right="280" w:firstLine="644"/>
        <w:spacing w:after="0" w:line="255" w:lineRule="auto"/>
        <w:tabs>
          <w:tab w:leader="none" w:pos="1191"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Penalties</w:t>
      </w:r>
      <w:r>
        <w:rPr>
          <w:rFonts w:ascii="Times New Roman" w:cs="Times New Roman" w:eastAsia="Times New Roman" w:hAnsi="Times New Roman"/>
          <w:sz w:val="18"/>
          <w:szCs w:val="18"/>
          <w:color w:val="auto"/>
        </w:rPr>
        <w:t>. The securities laws impose severe penalties for even minor, inadvertent failures to comply strictly with their requirements. The possible penalties for a violation of insider trading laws are severe (both with respect to the Company and to the individual personally), which can include imprisonment for up to 20 years, criminal fines of up to $5 million ($25 million for entities), civil penalties of up to 3 times the profits realized or the losses avoided, prejudgment interest and third party damages. The existence of a personal financial emergency does not excuse you from compliance with this Securities Trading Policy. Failure to comply with this Securities Trading Policy will also be grounds for appropriate Company discipline, up to and including termination of employment or service. Violations of the Securities Trading Policy should be reported to the Corporate Secretary’s Office at CSOffice@united.com.</w:t>
      </w:r>
    </w:p>
    <w:p>
      <w:pPr>
        <w:spacing w:after="0" w:line="211" w:lineRule="exact"/>
        <w:rPr>
          <w:rFonts w:ascii="Times New Roman" w:cs="Times New Roman" w:eastAsia="Times New Roman" w:hAnsi="Times New Roman"/>
          <w:sz w:val="18"/>
          <w:szCs w:val="18"/>
          <w:b w:val="1"/>
          <w:bCs w:val="1"/>
          <w:color w:val="auto"/>
        </w:rPr>
      </w:pPr>
    </w:p>
    <w:p>
      <w:pPr>
        <w:ind w:left="4" w:right="220" w:hanging="4"/>
        <w:spacing w:after="0" w:line="256" w:lineRule="auto"/>
        <w:tabs>
          <w:tab w:leader="none" w:pos="54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Speculative and Derivatives Trading by M&amp;A Employees Prohibited</w:t>
      </w:r>
      <w:r>
        <w:rPr>
          <w:rFonts w:ascii="Times New Roman" w:cs="Times New Roman" w:eastAsia="Times New Roman" w:hAnsi="Times New Roman"/>
          <w:sz w:val="18"/>
          <w:szCs w:val="18"/>
          <w:color w:val="auto"/>
        </w:rPr>
        <w:t>. Company board directors, Company officers and M&amp;A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engage in speculative or similar derivatives trading in UAL Securities, which includes “short sales” (selling borrowed UAL Securities that the seller hopes can be purchased at a lower price in the future), “short sales against the box” (selling owned, but not delivered UAL Securities), “put” and “call” options (publicly available rights to sell or buy UAL Securities within a certain period of time at a specified price or the like), warrants and hedging transactions (such as forward sale contracts, equity swaps, collars and exchange funds involving UAL Securities). M&amp;A employees are also advised to avoid standing orders and, to the extent used, such orders should only be used for a very brief period of time; provided, however, that certain standing orders may be made under a Rule 10b5-1 sales trading plan, discussed in Section 9 below.</w:t>
      </w:r>
    </w:p>
    <w:p>
      <w:pPr>
        <w:spacing w:after="0" w:line="22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Margin Accounts and Pledging by M&amp;A Employees Prohibited</w:t>
      </w:r>
      <w:r>
        <w:rPr>
          <w:rFonts w:ascii="Times New Roman" w:cs="Times New Roman" w:eastAsia="Times New Roman" w:hAnsi="Times New Roman"/>
          <w:sz w:val="18"/>
          <w:szCs w:val="18"/>
          <w:color w:val="auto"/>
        </w:rPr>
        <w:t>. Company board directors, Company officers and M&amp;A employees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not hold UAL Securities in a margin account or pledge UAL Securities as collateral for a loan.</w:t>
      </w:r>
    </w:p>
    <w:p>
      <w:pPr>
        <w:spacing w:after="0" w:line="243" w:lineRule="exact"/>
        <w:rPr>
          <w:sz w:val="20"/>
          <w:szCs w:val="20"/>
          <w:color w:val="auto"/>
        </w:rPr>
      </w:pPr>
    </w:p>
    <w:p>
      <w:pPr>
        <w:ind w:left="644" w:hanging="644"/>
        <w:spacing w:after="0"/>
        <w:tabs>
          <w:tab w:leader="none" w:pos="644"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Rule 10b5-1 Trading Plans</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b w:val="1"/>
          <w:bCs w:val="1"/>
          <w:color w:val="auto"/>
        </w:rPr>
      </w:pPr>
    </w:p>
    <w:p>
      <w:pPr>
        <w:ind w:left="4" w:right="320" w:firstLine="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Rule 10b5-1 under the Securities Exchange Act of 1934, as amended (the “Exchange Act”), provides an affirmative defense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liability for trades by individuals that are made pursuant to a written plan that was adopted in good faith at a time when such individual was not aware of material nonpublic information and meets other conditions. Therefore, Company board directors, Company officers and M&amp;A employees may make trades pursuant to a Rule 10b5-1 plan, including any supplements or amendments, provided that (i) such plan, including any supplements or amendments, meets the requirements of Rule 10b5-1, which include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4"/>
          </w:cols>
          <w:pgMar w:left="436" w:top="1440" w:right="339" w:bottom="1440" w:gutter="0" w:footer="0" w:header="0"/>
        </w:sectPr>
      </w:pPr>
    </w:p>
    <w:bookmarkStart w:id="227" w:name="page228"/>
    <w:bookmarkEnd w:id="227"/>
    <w:p>
      <w:pPr>
        <w:ind w:left="5" w:right="120"/>
        <w:spacing w:after="0" w:line="270" w:lineRule="auto"/>
        <w:rPr>
          <w:sz w:val="20"/>
          <w:szCs w:val="20"/>
          <w:color w:val="auto"/>
        </w:rPr>
      </w:pPr>
      <w:r>
        <w:rPr>
          <w:rFonts w:ascii="Times New Roman" w:cs="Times New Roman" w:eastAsia="Times New Roman" w:hAnsi="Times New Roman"/>
          <w:sz w:val="17"/>
          <w:szCs w:val="17"/>
          <w:color w:val="auto"/>
        </w:rPr>
        <w:t>minimum waiting periods before trading, (ii) such plan, including any supplements or amendments, was adopted at a time when such person would otherwise have been able to trade under this Securities Trading Policy, (iii) adoption of the plan, including any supplements or amendments, was expressly authorized by the Corporate Secretary’s Office and (iv) such person shall make representations when adopting or modifying a 10b5-1 plan, including, but not limited to, representations that (1) (s)he is not aware of any material nonpublic information about the Company or UAL Securities and</w:t>
      </w:r>
    </w:p>
    <w:p>
      <w:pPr>
        <w:spacing w:after="0" w:line="3" w:lineRule="exact"/>
        <w:rPr>
          <w:sz w:val="20"/>
          <w:szCs w:val="20"/>
          <w:color w:val="auto"/>
        </w:rPr>
      </w:pPr>
    </w:p>
    <w:p>
      <w:pPr>
        <w:ind w:left="245" w:hanging="245"/>
        <w:spacing w:after="0"/>
        <w:tabs>
          <w:tab w:leader="none" w:pos="2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 is adopting or modifying the 10b5-1 plan in good faith and not as part of a plan or scheme to evade the prohibitions of Rule 10b-5.</w:t>
      </w:r>
    </w:p>
    <w:p>
      <w:pPr>
        <w:spacing w:after="0" w:line="233" w:lineRule="exact"/>
        <w:rPr>
          <w:rFonts w:ascii="Times New Roman" w:cs="Times New Roman" w:eastAsia="Times New Roman" w:hAnsi="Times New Roman"/>
          <w:sz w:val="18"/>
          <w:szCs w:val="18"/>
          <w:color w:val="auto"/>
        </w:rPr>
      </w:pPr>
    </w:p>
    <w:p>
      <w:pPr>
        <w:jc w:val="both"/>
        <w:ind w:left="5" w:right="280" w:firstLine="643"/>
        <w:spacing w:after="0" w:line="266" w:lineRule="auto"/>
        <w:tabs>
          <w:tab w:leader="none" w:pos="1182" w:val="left"/>
        </w:tabs>
        <w:numPr>
          <w:ilvl w:val="2"/>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board directors, Company officers and M&amp;A employees who wish to enter into or amend a Rule 10b5-1 plan must submit a request for approval to the Corporate Secretary’s Office at least two weeks prior to the proposed execution of a plan. If approved, self-executing trades during blackout periods pursuant to a preapproved Rule 10b5-1 plan would not be prohibited.</w:t>
      </w:r>
    </w:p>
    <w:p>
      <w:pPr>
        <w:spacing w:after="0" w:line="216" w:lineRule="exact"/>
        <w:rPr>
          <w:rFonts w:ascii="Times New Roman" w:cs="Times New Roman" w:eastAsia="Times New Roman" w:hAnsi="Times New Roman"/>
          <w:sz w:val="18"/>
          <w:szCs w:val="18"/>
          <w:b w:val="1"/>
          <w:bCs w:val="1"/>
          <w:color w:val="auto"/>
        </w:rPr>
      </w:pPr>
    </w:p>
    <w:p>
      <w:pPr>
        <w:ind w:left="5" w:right="580" w:firstLine="643"/>
        <w:spacing w:after="0" w:line="282" w:lineRule="auto"/>
        <w:tabs>
          <w:tab w:leader="none" w:pos="1192" w:val="left"/>
        </w:tabs>
        <w:numPr>
          <w:ilvl w:val="2"/>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 all Rule 10b5-1 plans terminated by Section 16 Individuals (as defined herein) as well as all trades made pursuant to Rule 10b5-1 plans by Section 16 Individuals must be approved by the Corporate Secretary’s Office.</w:t>
      </w:r>
    </w:p>
    <w:p>
      <w:pPr>
        <w:spacing w:after="0" w:line="184" w:lineRule="exact"/>
        <w:rPr>
          <w:rFonts w:ascii="Times New Roman" w:cs="Times New Roman" w:eastAsia="Times New Roman" w:hAnsi="Times New Roman"/>
          <w:sz w:val="18"/>
          <w:szCs w:val="18"/>
          <w:b w:val="1"/>
          <w:bCs w:val="1"/>
          <w:color w:val="auto"/>
        </w:rPr>
      </w:pPr>
    </w:p>
    <w:p>
      <w:pPr>
        <w:ind w:left="5" w:right="280" w:hanging="4"/>
        <w:spacing w:after="0" w:line="286" w:lineRule="auto"/>
        <w:tabs>
          <w:tab w:leader="none" w:pos="54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Ownership of and Trading in Competitor Securities</w:t>
      </w:r>
      <w:r>
        <w:rPr>
          <w:rFonts w:ascii="Times New Roman" w:cs="Times New Roman" w:eastAsia="Times New Roman" w:hAnsi="Times New Roman"/>
          <w:sz w:val="18"/>
          <w:szCs w:val="18"/>
          <w:color w:val="auto"/>
        </w:rPr>
        <w:t>. Company board directors and Company officers may not own or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Securities of any of the Company’s Competitors (as defined below).</w:t>
      </w:r>
    </w:p>
    <w:p>
      <w:pPr>
        <w:spacing w:after="0" w:line="199" w:lineRule="exact"/>
        <w:rPr>
          <w:sz w:val="20"/>
          <w:szCs w:val="20"/>
          <w:color w:val="auto"/>
        </w:rPr>
      </w:pPr>
    </w:p>
    <w:p>
      <w:pPr>
        <w:ind w:left="5" w:right="200"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10, “Competitor” means any airline or air carrier (including cargo carriers) that (i) flies into, operates or does business in any state, territory, or protectorate of the United States, (ii) is a member or connecting partner of the Star Alliance (or any successor alliance of which the Company is a member), (iii) is a code share partner with the Company, (iv) is a member of any airline alliance that competes with the Star Alliance, or (v) conducts operations on a route that competes with the Company’s operations on such route.</w:t>
      </w:r>
    </w:p>
    <w:p>
      <w:pPr>
        <w:spacing w:after="0" w:line="220" w:lineRule="exact"/>
        <w:rPr>
          <w:sz w:val="20"/>
          <w:szCs w:val="20"/>
          <w:color w:val="auto"/>
        </w:rPr>
      </w:pPr>
    </w:p>
    <w:p>
      <w:pPr>
        <w:ind w:left="5" w:right="180" w:firstLine="648"/>
        <w:spacing w:after="0" w:line="261" w:lineRule="auto"/>
        <w:rPr>
          <w:sz w:val="20"/>
          <w:szCs w:val="20"/>
          <w:color w:val="auto"/>
        </w:rPr>
      </w:pPr>
      <w:r>
        <w:rPr>
          <w:rFonts w:ascii="Times New Roman" w:cs="Times New Roman" w:eastAsia="Times New Roman" w:hAnsi="Times New Roman"/>
          <w:sz w:val="18"/>
          <w:szCs w:val="18"/>
          <w:color w:val="auto"/>
        </w:rPr>
        <w:t>Competitor Securities that are owned by Company board directors and Company officers as of September 10, 2019, or that are owned by individuals who become directors or officers subsequent to such date, may be “grandfathered,” subject to written approval by the Chief Legal Officer of the Company (“Grandfathered Competitor Securities”). Grandfathered Competitor Securities may be held or divested; however, no additional Competitor Securities may be acquired.</w:t>
      </w:r>
    </w:p>
    <w:p>
      <w:pPr>
        <w:spacing w:after="0" w:line="207"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18"/>
          <w:szCs w:val="18"/>
          <w:color w:val="auto"/>
        </w:rPr>
        <w:t>Company board directors and Company officers will certify annually their compliance with this Section 10.</w:t>
      </w:r>
    </w:p>
    <w:p>
      <w:pPr>
        <w:spacing w:after="0" w:line="252" w:lineRule="exact"/>
        <w:rPr>
          <w:sz w:val="20"/>
          <w:szCs w:val="20"/>
          <w:color w:val="auto"/>
        </w:rPr>
      </w:pPr>
    </w:p>
    <w:p>
      <w:pPr>
        <w:ind w:left="5" w:right="380" w:firstLine="647"/>
        <w:spacing w:after="0" w:line="297" w:lineRule="auto"/>
        <w:rPr>
          <w:sz w:val="20"/>
          <w:szCs w:val="20"/>
          <w:color w:val="auto"/>
        </w:rPr>
      </w:pPr>
      <w:r>
        <w:rPr>
          <w:rFonts w:ascii="Times New Roman" w:cs="Times New Roman" w:eastAsia="Times New Roman" w:hAnsi="Times New Roman"/>
          <w:sz w:val="18"/>
          <w:szCs w:val="18"/>
          <w:color w:val="auto"/>
        </w:rPr>
        <w:t>Individuals subject to this Section 10 are encouraged to consult with the Chief Legal Officer of the Company prior to acquiring any Security of any airline or air carrier (including cargo carriers) for assistance in determining whether such Security is a Competitor security.</w:t>
      </w:r>
    </w:p>
    <w:p>
      <w:pPr>
        <w:spacing w:after="0" w:line="253" w:lineRule="exact"/>
        <w:rPr>
          <w:sz w:val="20"/>
          <w:szCs w:val="20"/>
          <w:color w:val="auto"/>
        </w:rPr>
      </w:pPr>
    </w:p>
    <w:p>
      <w:pPr>
        <w:ind w:left="5" w:right="280" w:hanging="5"/>
        <w:spacing w:after="0" w:line="259" w:lineRule="auto"/>
        <w:tabs>
          <w:tab w:leader="none" w:pos="53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Venture Fund Employees</w:t>
      </w:r>
      <w:r>
        <w:rPr>
          <w:rFonts w:ascii="Times New Roman" w:cs="Times New Roman" w:eastAsia="Times New Roman" w:hAnsi="Times New Roman"/>
          <w:sz w:val="18"/>
          <w:szCs w:val="18"/>
          <w:color w:val="auto"/>
        </w:rPr>
        <w:t>. Individuals who are employed by, or provide services in a manner with reasonable likelihood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possessing material nonpublic information of, United Airlines Ventures (“UAV”), United Airlines Ventures Management LLC (“UAVM”) or any alternative investment fund sponsored, managed or advised by UAV or UAVM (each, a “UAV Fund”), may not trade Securities of the entities in which UAV, UAVM or any UAV Fund invests (which list of entities shall be made available to such individuals and updated by officers of UAV on a quarterly basis), without complying with the preclearance procedures set forth in Section 6.A.</w:t>
      </w:r>
    </w:p>
    <w:p>
      <w:pPr>
        <w:spacing w:after="0" w:line="206" w:lineRule="exact"/>
        <w:rPr>
          <w:rFonts w:ascii="Times New Roman" w:cs="Times New Roman" w:eastAsia="Times New Roman" w:hAnsi="Times New Roman"/>
          <w:sz w:val="18"/>
          <w:szCs w:val="18"/>
          <w:b w:val="1"/>
          <w:bCs w:val="1"/>
          <w:color w:val="auto"/>
        </w:rPr>
      </w:pPr>
    </w:p>
    <w:p>
      <w:pPr>
        <w:jc w:val="both"/>
        <w:ind w:left="5" w:right="280" w:hanging="4"/>
        <w:spacing w:after="0" w:line="268" w:lineRule="auto"/>
        <w:tabs>
          <w:tab w:leader="none" w:pos="54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16 of the Exchange Act</w:t>
      </w:r>
      <w:r>
        <w:rPr>
          <w:rFonts w:ascii="Times New Roman" w:cs="Times New Roman" w:eastAsia="Times New Roman" w:hAnsi="Times New Roman"/>
          <w:sz w:val="18"/>
          <w:szCs w:val="18"/>
          <w:color w:val="auto"/>
        </w:rPr>
        <w:t>. Company board directors and Section 16 officers of United Airlines Holdings, Inc. (collectively, “Section 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Individuals”) are subject to certain additional limitations on their Securities trading activity under Section 16 of the Exchange Act.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which appendix may be amended from time to time, details these limitations.</w:t>
      </w:r>
    </w:p>
    <w:p>
      <w:pPr>
        <w:spacing w:after="0" w:line="211" w:lineRule="exact"/>
        <w:rPr>
          <w:rFonts w:ascii="Times New Roman" w:cs="Times New Roman" w:eastAsia="Times New Roman" w:hAnsi="Times New Roman"/>
          <w:sz w:val="18"/>
          <w:szCs w:val="18"/>
          <w:b w:val="1"/>
          <w:bCs w:val="1"/>
          <w:color w:val="auto"/>
        </w:rPr>
      </w:pPr>
    </w:p>
    <w:p>
      <w:pPr>
        <w:jc w:val="both"/>
        <w:ind w:left="5" w:right="300" w:hanging="5"/>
        <w:spacing w:after="0" w:line="262" w:lineRule="auto"/>
        <w:tabs>
          <w:tab w:leader="none" w:pos="54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Post-Termination Transactions</w:t>
      </w:r>
      <w:r>
        <w:rPr>
          <w:rFonts w:ascii="Times New Roman" w:cs="Times New Roman" w:eastAsia="Times New Roman" w:hAnsi="Times New Roman"/>
          <w:sz w:val="18"/>
          <w:szCs w:val="18"/>
          <w:color w:val="auto"/>
        </w:rPr>
        <w:t>. Please keep in mind that the prohibitions against trading on the basis of material nonpublic information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apply following a Company director’s or a Company employee’s or contractor’s departure from the Company for so long as the applicable individual is in possession of material, nonpublic information about the Company and the entities set forth in Section 1.A., including Competitors. As such,</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5"/>
          </w:cols>
          <w:pgMar w:left="435" w:top="1417" w:right="339" w:bottom="1440" w:gutter="0" w:footer="0" w:header="0"/>
        </w:sectPr>
      </w:pPr>
    </w:p>
    <w:bookmarkStart w:id="228" w:name="page229"/>
    <w:bookmarkEnd w:id="228"/>
    <w:p>
      <w:pPr>
        <w:ind w:left="4" w:right="220"/>
        <w:spacing w:after="0" w:line="258" w:lineRule="auto"/>
        <w:rPr>
          <w:sz w:val="20"/>
          <w:szCs w:val="20"/>
          <w:color w:val="auto"/>
        </w:rPr>
      </w:pPr>
      <w:r>
        <w:rPr>
          <w:rFonts w:ascii="Times New Roman" w:cs="Times New Roman" w:eastAsia="Times New Roman" w:hAnsi="Times New Roman"/>
          <w:sz w:val="18"/>
          <w:szCs w:val="18"/>
          <w:color w:val="auto"/>
        </w:rPr>
        <w:t>if Company board directors and Company employees and contractors are in possession of such material nonpublic information upon termination of employment or service, such individuals may not trade in UAL Securities or Securities of the entities set forth in Section 1.A. until that information has become public or is no longer material. In addition, if a blackout period is in effect applicable to a Company director or a Company employee or contractor at the time such person ceases to be affiliated with the Company, such individual is expected to abide by the applicable trading restrictions until the blackout period lapses.</w:t>
      </w:r>
    </w:p>
    <w:p>
      <w:pPr>
        <w:spacing w:after="0" w:line="220" w:lineRule="exact"/>
        <w:rPr>
          <w:sz w:val="20"/>
          <w:szCs w:val="20"/>
          <w:color w:val="auto"/>
        </w:rPr>
      </w:pPr>
    </w:p>
    <w:p>
      <w:pPr>
        <w:ind w:left="644" w:hanging="644"/>
        <w:spacing w:after="0"/>
        <w:tabs>
          <w:tab w:leader="none" w:pos="644"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350" w:lineRule="exact"/>
        <w:rPr>
          <w:rFonts w:ascii="Times New Roman" w:cs="Times New Roman" w:eastAsia="Times New Roman" w:hAnsi="Times New Roman"/>
          <w:sz w:val="18"/>
          <w:szCs w:val="18"/>
          <w:b w:val="1"/>
          <w:bCs w:val="1"/>
          <w:color w:val="auto"/>
        </w:rPr>
      </w:pPr>
    </w:p>
    <w:p>
      <w:pPr>
        <w:ind w:left="644" w:right="1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“beneficial ownership” includes all UAL Securities from which the person has the opportunity, directly or indirectly, to profit or share in any profit (whether or not the Securities are owned outright). This generally would include, but may not be limited to, UAL Securities owned by the person, by his or her spouse, children or other relatives sharing his or her home (considered “immediate family” under the applicable rules), by a partnership of which the person is a partner, by a corporation in which the person has a controlling interest or for which the person has investment authority or by a broker in street name. Trust arrangements are governed by complicated rules. If UAL Securities are held in a trust for the person’s (or a spouse’s or other relative’s) benefit, or for which the person or his or her spouse is a trustee or has investment authority, the person should check with the Corporate Secretary’s Office to determine whether the UAL Securities in the trust should be treated as beneficially owned by the person.</w:t>
      </w:r>
    </w:p>
    <w:p>
      <w:pPr>
        <w:spacing w:after="0" w:line="218" w:lineRule="exact"/>
        <w:rPr>
          <w:rFonts w:ascii="Times New Roman" w:cs="Times New Roman" w:eastAsia="Times New Roman" w:hAnsi="Times New Roman"/>
          <w:sz w:val="18"/>
          <w:szCs w:val="18"/>
          <w:b w:val="1"/>
          <w:bCs w:val="1"/>
          <w:color w:val="auto"/>
        </w:rPr>
      </w:pPr>
    </w:p>
    <w:p>
      <w:pPr>
        <w:ind w:left="644"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refers to all securities, including, without limitation, common and preferred stock (including shares held in 401(k) plans), debt securities, convertible debentures, warrants and any other types of securities and puts, calls, warrants, options and similar derivative securities relating to such securities.</w:t>
      </w:r>
    </w:p>
    <w:p>
      <w:pPr>
        <w:spacing w:after="0" w:line="216" w:lineRule="exact"/>
        <w:rPr>
          <w:rFonts w:ascii="Times New Roman" w:cs="Times New Roman" w:eastAsia="Times New Roman" w:hAnsi="Times New Roman"/>
          <w:sz w:val="18"/>
          <w:szCs w:val="18"/>
          <w:b w:val="1"/>
          <w:bCs w:val="1"/>
          <w:color w:val="auto"/>
        </w:rPr>
      </w:pPr>
    </w:p>
    <w:p>
      <w:pPr>
        <w:ind w:left="6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“Trading Day” shall mean any day on which the Nasdaq Stock Market is open for trading.</w:t>
      </w:r>
    </w:p>
    <w:p>
      <w:pPr>
        <w:spacing w:after="0" w:line="26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“UAL Securities” refers to all Securities of United Airlines Holdings, Inc., United Airlines, Inc. and their respective subsidiaries.</w:t>
      </w:r>
    </w:p>
    <w:p>
      <w:pPr>
        <w:spacing w:after="0" w:line="2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“UAL Stock” refers to the common stock of United Airlines Holdings, Inc.</w:t>
      </w:r>
    </w:p>
    <w:p>
      <w:pPr>
        <w:spacing w:after="0" w:line="26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concerns or uncertainty about the application of the Securities Trading Policy, you should consult with the Chief Legal Officer of the Company or the Corporate Secretary’s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4"/>
          </w:cols>
          <w:pgMar w:left="436" w:top="1336" w:right="339" w:bottom="1440" w:gutter="0" w:footer="0" w:header="0"/>
        </w:sectPr>
      </w:pPr>
    </w:p>
    <w:bookmarkStart w:id="229" w:name="page230"/>
    <w:bookmarkEnd w:id="229"/>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addition to Company board directors, Company officers and members of the Disclosure Council, certain management and administrative employees in the following Divisions must comply with the Annual and Quarterly Earnings Results Blackout Periods described in this Securities Trading Policy. The Company officers in charge of the Divisions listed below are responsible for advising the Corporate Secretary’s Office from time to time of the names of their employees who are likely to have access to material nonpublic information as part of their job duties (the “Designated M&amp;A Employees”).</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Airport Operations and Cargo Corporate Communications Corporate</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Development Corporate Secretary’s Office Financial Reporting</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Financial Planning and Analysis Flight Profitability System</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Government Affairs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Human Resources Internal Audit Investor Relations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Labor Relations Legal Department Office of the CEO</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Passenger Revenue Accounting Procurement</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Global Network Planning Pricing &amp; Revenue Management Tax</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Treasury</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United Express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Worldwide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440" w:top="1440" w:right="339" w:bottom="1440" w:gutter="0" w:footer="0" w:header="0"/>
        </w:sectPr>
      </w:pPr>
    </w:p>
    <w:bookmarkStart w:id="230" w:name="page231"/>
    <w:bookmarkEnd w:id="230"/>
    <w:p>
      <w:pPr>
        <w:spacing w:after="0" w:line="217"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Introduction</w:t>
      </w:r>
      <w:r>
        <w:rPr>
          <w:rFonts w:ascii="Times New Roman" w:cs="Times New Roman" w:eastAsia="Times New Roman" w:hAnsi="Times New Roman"/>
          <w:sz w:val="18"/>
          <w:szCs w:val="18"/>
          <w:b w:val="1"/>
          <w:bCs w:val="1"/>
          <w:i w:val="1"/>
          <w:iCs w:val="1"/>
          <w:color w:val="auto"/>
        </w:rPr>
        <w:t>.</w:t>
      </w:r>
    </w:p>
    <w:p>
      <w:pPr>
        <w:spacing w:after="0" w:line="337" w:lineRule="exact"/>
        <w:rPr>
          <w:sz w:val="20"/>
          <w:szCs w:val="20"/>
          <w:color w:val="auto"/>
        </w:rPr>
      </w:pPr>
    </w:p>
    <w:p>
      <w:pPr>
        <w:ind w:left="4" w:right="120" w:firstLine="648"/>
        <w:spacing w:after="0" w:line="289" w:lineRule="auto"/>
        <w:rPr>
          <w:sz w:val="20"/>
          <w:szCs w:val="20"/>
          <w:color w:val="auto"/>
        </w:rPr>
      </w:pPr>
      <w:r>
        <w:rPr>
          <w:rFonts w:ascii="Times New Roman" w:cs="Times New Roman" w:eastAsia="Times New Roman" w:hAnsi="Times New Roman"/>
          <w:sz w:val="17"/>
          <w:szCs w:val="17"/>
          <w:color w:val="auto"/>
        </w:rPr>
        <w:t>Section 16 Individuals are subject to Section 16 of the Exchange Act, requiring public disclosure of their transactions in UAL Securities and imposing restrictions on their ability to buy and sell those Securities. These restrictions are in addition to the antifraud provisions imposed by Rule 10b-5 and Rule 144 of the Securities Act of 1933, as amended (the “Securities Act”), under which any public sales by Section 16 Individuals should be made.</w:t>
      </w:r>
    </w:p>
    <w:p>
      <w:pPr>
        <w:spacing w:after="0" w:line="185" w:lineRule="exact"/>
        <w:rPr>
          <w:sz w:val="20"/>
          <w:szCs w:val="20"/>
          <w:color w:val="auto"/>
        </w:rPr>
      </w:pPr>
    </w:p>
    <w:p>
      <w:pPr>
        <w:ind w:left="4"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has established certain policies, described below, to assist Section 16 Individuals in fulfilling their responsibilities under the securities laws, to minimize the chances of an inadvertent violation of law and to avoid undue criticism of trading activities by Section 16 Individuals. Section 16 Individuals are strongly encouraged to consult with the Corporate Secretary’s Office on questions regarding the applicability of these policies and requirements to particular situations.</w:t>
      </w:r>
    </w:p>
    <w:p>
      <w:pPr>
        <w:spacing w:after="0" w:line="203" w:lineRule="exact"/>
        <w:rPr>
          <w:sz w:val="20"/>
          <w:szCs w:val="20"/>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Section 16 and Rule 144 Filings.</w:t>
      </w:r>
    </w:p>
    <w:p>
      <w:pPr>
        <w:spacing w:after="0" w:line="225" w:lineRule="exact"/>
        <w:rPr>
          <w:rFonts w:ascii="Times New Roman" w:cs="Times New Roman" w:eastAsia="Times New Roman" w:hAnsi="Times New Roman"/>
          <w:sz w:val="18"/>
          <w:szCs w:val="18"/>
          <w:b w:val="1"/>
          <w:bCs w:val="1"/>
          <w:i w:val="1"/>
          <w:iCs w:val="1"/>
          <w:color w:val="auto"/>
        </w:rPr>
      </w:pPr>
    </w:p>
    <w:p>
      <w:pPr>
        <w:ind w:left="644"/>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7"/>
          <w:szCs w:val="17"/>
          <w:b w:val="1"/>
          <w:bCs w:val="1"/>
          <w:u w:val="single" w:color="auto"/>
          <w:color w:val="auto"/>
        </w:rPr>
        <w:t>Section 16(a)</w:t>
      </w:r>
      <w:r>
        <w:rPr>
          <w:rFonts w:ascii="Times New Roman" w:cs="Times New Roman" w:eastAsia="Times New Roman" w:hAnsi="Times New Roman"/>
          <w:sz w:val="17"/>
          <w:szCs w:val="17"/>
          <w:color w:val="auto"/>
        </w:rPr>
        <w:t>.</w:t>
      </w:r>
    </w:p>
    <w:p>
      <w:pPr>
        <w:spacing w:after="0" w:line="337" w:lineRule="exact"/>
        <w:rPr>
          <w:sz w:val="20"/>
          <w:szCs w:val="20"/>
          <w:color w:val="auto"/>
        </w:rPr>
      </w:pPr>
    </w:p>
    <w:p>
      <w:pPr>
        <w:ind w:left="4"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16(a) requires Section 16 Individuals to disclose publicly (by filing prescribed reports with the SEC and the applicable national securities exchange) the number of UAL Securities in which they have any beneficial ownership, the nature of that ownership, and any changes that occur. These reports are described briefly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If you acquire or dispose of any UAL Securities, or otherwise change the nature of your beneficial ownership of UAL Securities (e.g., you transfer UAL Stock from your own name to your spouse’s name), a Form 4 will have to be filed </w:t>
      </w:r>
      <w:r>
        <w:rPr>
          <w:rFonts w:ascii="Times New Roman" w:cs="Times New Roman" w:eastAsia="Times New Roman" w:hAnsi="Times New Roman"/>
          <w:sz w:val="18"/>
          <w:szCs w:val="18"/>
          <w:b w:val="1"/>
          <w:bCs w:val="1"/>
          <w:color w:val="auto"/>
        </w:rPr>
        <w:t>within 2 business days after the transaction occurs</w:t>
      </w:r>
      <w:r>
        <w:rPr>
          <w:rFonts w:ascii="Times New Roman" w:cs="Times New Roman" w:eastAsia="Times New Roman" w:hAnsi="Times New Roman"/>
          <w:sz w:val="18"/>
          <w:szCs w:val="18"/>
          <w:color w:val="auto"/>
        </w:rPr>
        <w:t>, subject to limited exceptions. The failure to file the reports when required could result in fines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sanctions against you personally and/or the Company. In addition, United Airlines Holdings, Inc. is required to disclose in its Proxy Statement and Form 10-K the names of those Section 16 Individuals who have not made the requisite filings in a timely manner.</w:t>
      </w:r>
    </w:p>
    <w:p>
      <w:pPr>
        <w:spacing w:after="0" w:line="229" w:lineRule="exact"/>
        <w:rPr>
          <w:sz w:val="20"/>
          <w:szCs w:val="20"/>
          <w:color w:val="auto"/>
        </w:rPr>
      </w:pPr>
    </w:p>
    <w:p>
      <w:pPr>
        <w:ind w:left="4" w:right="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Although the SEC rules impose this filing obligation on you personally, it is Company policy to prepare and file these reports on behalf of Section 16 Individuals. To ensure compliance with the applicable law and policies, the Company requires that all of your SEC filings be processed through the Corporate Secretary’s Office. Subsequent to pre-clearing a transaction as described in the Securities Trading Policy, please advise the Corporate Secretary’s Office of the specific terms of the transaction as soon as possible, but in any event </w:t>
      </w:r>
      <w:r>
        <w:rPr>
          <w:rFonts w:ascii="Times New Roman" w:cs="Times New Roman" w:eastAsia="Times New Roman" w:hAnsi="Times New Roman"/>
          <w:sz w:val="18"/>
          <w:szCs w:val="18"/>
          <w:u w:val="single" w:color="auto"/>
          <w:color w:val="auto"/>
        </w:rPr>
        <w:t>no later than the same day on which it occurs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is initiated</w:t>
      </w:r>
      <w:r>
        <w:rPr>
          <w:rFonts w:ascii="Times New Roman" w:cs="Times New Roman" w:eastAsia="Times New Roman" w:hAnsi="Times New Roman"/>
          <w:sz w:val="18"/>
          <w:szCs w:val="18"/>
          <w:color w:val="auto"/>
        </w:rPr>
        <w:t xml:space="preserve"> to enable the Company to prepare the necessary forms within the prescribed time periods.</w:t>
      </w:r>
    </w:p>
    <w:p>
      <w:pPr>
        <w:spacing w:after="0" w:line="210" w:lineRule="exact"/>
        <w:rPr>
          <w:sz w:val="20"/>
          <w:szCs w:val="20"/>
          <w:color w:val="auto"/>
        </w:rPr>
      </w:pPr>
    </w:p>
    <w:p>
      <w:pPr>
        <w:ind w:left="4"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indicated above, the Corporate Secretary’s Office will file the reports for you, </w:t>
      </w:r>
      <w:r>
        <w:rPr>
          <w:rFonts w:ascii="Times New Roman" w:cs="Times New Roman" w:eastAsia="Times New Roman" w:hAnsi="Times New Roman"/>
          <w:sz w:val="18"/>
          <w:szCs w:val="18"/>
          <w:u w:val="single" w:color="auto"/>
          <w:color w:val="auto"/>
        </w:rPr>
        <w:t>but you are responsible for notifying the Corporate Secretary’s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Office of any activities that may trigger a filing requirement</w:t>
      </w:r>
      <w:r>
        <w:rPr>
          <w:rFonts w:ascii="Times New Roman" w:cs="Times New Roman" w:eastAsia="Times New Roman" w:hAnsi="Times New Roman"/>
          <w:sz w:val="18"/>
          <w:szCs w:val="18"/>
          <w:color w:val="auto"/>
        </w:rPr>
        <w:t>. It is important to remember that a change of beneficial ownership occurs not only upon a purchase or a sale but also upon any other acquisition or disposition of UAL Securities. Some of the kinds of activities that may trigger a report filing include: the acquisition or disposition of UAL Securities as a gift or inheritance; or a charitable contribution of UAL Securities.</w:t>
      </w:r>
    </w:p>
    <w:p>
      <w:pPr>
        <w:spacing w:after="0" w:line="220" w:lineRule="exact"/>
        <w:rPr>
          <w:sz w:val="20"/>
          <w:szCs w:val="20"/>
          <w:color w:val="auto"/>
        </w:rPr>
      </w:pPr>
    </w:p>
    <w:p>
      <w:pPr>
        <w:ind w:left="4" w:righ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 leave the Company, these filing requirements may continue to apply for up to six months following your departure. If following your departure, you have any purchases or sales occurring within a period of six months of any non-exempt “opposite-way transactions” involving UAL Securities entered into while you were a Section 16 Individual, then you must notify the Company </w:t>
      </w:r>
      <w:r>
        <w:rPr>
          <w:rFonts w:ascii="Times New Roman" w:cs="Times New Roman" w:eastAsia="Times New Roman" w:hAnsi="Times New Roman"/>
          <w:sz w:val="18"/>
          <w:szCs w:val="18"/>
          <w:u w:val="single" w:color="auto"/>
          <w:color w:val="auto"/>
        </w:rPr>
        <w:t>no later than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4"/>
          </w:cols>
          <w:pgMar w:left="436" w:top="1440" w:right="339" w:bottom="1440" w:gutter="0" w:footer="0" w:header="0"/>
        </w:sectPr>
      </w:pPr>
    </w:p>
    <w:bookmarkStart w:id="231" w:name="page232"/>
    <w:bookmarkEnd w:id="231"/>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day on which this transaction occurs or is initiated</w:t>
      </w:r>
      <w:r>
        <w:rPr>
          <w:rFonts w:ascii="Times New Roman" w:cs="Times New Roman" w:eastAsia="Times New Roman" w:hAnsi="Times New Roman"/>
          <w:sz w:val="18"/>
          <w:szCs w:val="18"/>
          <w:color w:val="auto"/>
        </w:rPr>
        <w:t xml:space="preserve"> and the Company will make the required Section 16 filing for you. By way of example:</w:t>
      </w:r>
    </w:p>
    <w:p>
      <w:pPr>
        <w:spacing w:after="0" w:line="252" w:lineRule="exact"/>
        <w:rPr>
          <w:sz w:val="20"/>
          <w:szCs w:val="20"/>
          <w:color w:val="auto"/>
        </w:rPr>
      </w:pPr>
    </w:p>
    <w:p>
      <w:pPr>
        <w:ind w:left="1224" w:right="1600"/>
        <w:spacing w:after="0" w:line="282" w:lineRule="auto"/>
        <w:rPr>
          <w:sz w:val="20"/>
          <w:szCs w:val="20"/>
          <w:color w:val="auto"/>
        </w:rPr>
      </w:pPr>
      <w:r>
        <w:rPr>
          <w:rFonts w:ascii="Times New Roman" w:cs="Times New Roman" w:eastAsia="Times New Roman" w:hAnsi="Times New Roman"/>
          <w:sz w:val="18"/>
          <w:szCs w:val="18"/>
          <w:color w:val="auto"/>
        </w:rPr>
        <w:t>If you purchase shares of UAL Securities on May 15 and subsequently terminate your affiliation with the Company effective June 15, any sales of those shares until November 15 must be reported on a Form 4.</w:t>
      </w:r>
    </w:p>
    <w:p>
      <w:pPr>
        <w:spacing w:after="0" w:line="198" w:lineRule="exact"/>
        <w:rPr>
          <w:sz w:val="20"/>
          <w:szCs w:val="20"/>
          <w:color w:val="auto"/>
        </w:rPr>
      </w:pPr>
    </w:p>
    <w:p>
      <w:pPr>
        <w:ind w:left="1284" w:hanging="636"/>
        <w:spacing w:after="0"/>
        <w:tabs>
          <w:tab w:leader="none" w:pos="1284"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Rule 144</w:t>
      </w:r>
    </w:p>
    <w:p>
      <w:pPr>
        <w:spacing w:after="0" w:line="337" w:lineRule="exact"/>
        <w:rPr>
          <w:sz w:val="20"/>
          <w:szCs w:val="20"/>
          <w:color w:val="auto"/>
        </w:rPr>
      </w:pPr>
    </w:p>
    <w:p>
      <w:pPr>
        <w:ind w:left="4"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Under Rule 144 of the Securities Act, Section 16 Individuals are required to file a Form 144 before making certain open market sales of UAL Securities.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provides a summary of the relevant provisions of Rule 144. Please note that Form 144 filings are due no later than the time a sell order is placed with a broker.</w:t>
      </w:r>
    </w:p>
    <w:p>
      <w:pPr>
        <w:spacing w:after="0" w:line="199" w:lineRule="exact"/>
        <w:rPr>
          <w:sz w:val="20"/>
          <w:szCs w:val="20"/>
          <w:color w:val="auto"/>
        </w:rPr>
      </w:pPr>
    </w:p>
    <w:p>
      <w:pPr>
        <w:ind w:left="644" w:hanging="644"/>
        <w:spacing w:after="0"/>
        <w:tabs>
          <w:tab w:leader="none" w:pos="644" w:val="left"/>
        </w:tabs>
        <w:numPr>
          <w:ilvl w:val="0"/>
          <w:numId w:val="1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Trading Restrictions (Section 16(b) and 16(c)).</w:t>
      </w:r>
    </w:p>
    <w:p>
      <w:pPr>
        <w:spacing w:after="0" w:line="346" w:lineRule="exact"/>
        <w:rPr>
          <w:rFonts w:ascii="Times New Roman" w:cs="Times New Roman" w:eastAsia="Times New Roman" w:hAnsi="Times New Roman"/>
          <w:sz w:val="18"/>
          <w:szCs w:val="18"/>
          <w:b w:val="1"/>
          <w:bCs w:val="1"/>
          <w:i w:val="1"/>
          <w:iCs w:val="1"/>
          <w:color w:val="auto"/>
        </w:rPr>
      </w:pPr>
    </w:p>
    <w:p>
      <w:pPr>
        <w:ind w:left="4" w:right="220" w:firstLine="648"/>
        <w:spacing w:after="0" w:line="25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Short-Swing Profits</w:t>
      </w:r>
      <w:r>
        <w:rPr>
          <w:rFonts w:ascii="Times New Roman" w:cs="Times New Roman" w:eastAsia="Times New Roman" w:hAnsi="Times New Roman"/>
          <w:sz w:val="18"/>
          <w:szCs w:val="18"/>
          <w:color w:val="auto"/>
        </w:rPr>
        <w:t>. Under Section 16(b) of the Exchange Act, you are automatically liable to the Company for any “profit”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realize from any non-exempt purchase and sale, or any sale and purchase (it does not matter which comes first), of UAL Stock or certain related UAL Securities within any period of less than six months of each other. This is commonly referred to as the “short-swing profit” rule. This is a strict liability provision meaning that Section 16 Individuals will be liable despite any mistake of fact, the exercise of good faith or the absence of material nonpublic information. It is not necessary that you be a Section 16 Individual at the time of both purchase and sale; the rule will take effect if you are a Section 16 Individual at the time of the first transaction.</w:t>
      </w:r>
    </w:p>
    <w:p>
      <w:pPr>
        <w:spacing w:after="0" w:line="213" w:lineRule="exact"/>
        <w:rPr>
          <w:sz w:val="20"/>
          <w:szCs w:val="20"/>
          <w:color w:val="auto"/>
        </w:rPr>
      </w:pPr>
    </w:p>
    <w:p>
      <w:pPr>
        <w:ind w:left="4" w:right="160" w:firstLine="648"/>
        <w:spacing w:after="0" w:line="257" w:lineRule="auto"/>
        <w:rPr>
          <w:sz w:val="20"/>
          <w:szCs w:val="20"/>
          <w:color w:val="auto"/>
        </w:rPr>
      </w:pPr>
      <w:r>
        <w:rPr>
          <w:rFonts w:ascii="Times New Roman" w:cs="Times New Roman" w:eastAsia="Times New Roman" w:hAnsi="Times New Roman"/>
          <w:sz w:val="18"/>
          <w:szCs w:val="18"/>
          <w:color w:val="auto"/>
        </w:rPr>
        <w:t>Generally, the amount of “profit” is calculated in a way that maximizes your liability. Thus, when you sell, the sale price is matched against the lowest purchase price you paid in the previous six months; when you buy, the purchase price is matched against the highest sale price you received in the previous six months. For example, suppose you buy 100 shares at $160 on August 1 and another 100 shares at</w:t>
      </w:r>
    </w:p>
    <w:p>
      <w:pPr>
        <w:spacing w:after="0" w:line="1" w:lineRule="exact"/>
        <w:rPr>
          <w:sz w:val="20"/>
          <w:szCs w:val="20"/>
          <w:color w:val="auto"/>
        </w:rPr>
      </w:pPr>
    </w:p>
    <w:p>
      <w:pPr>
        <w:ind w:left="4" w:right="3780"/>
        <w:spacing w:after="0" w:line="260" w:lineRule="auto"/>
        <w:rPr>
          <w:sz w:val="20"/>
          <w:szCs w:val="20"/>
          <w:color w:val="auto"/>
        </w:rPr>
      </w:pPr>
      <w:r>
        <w:rPr>
          <w:rFonts w:ascii="Times New Roman" w:cs="Times New Roman" w:eastAsia="Times New Roman" w:hAnsi="Times New Roman"/>
          <w:sz w:val="18"/>
          <w:szCs w:val="18"/>
          <w:color w:val="auto"/>
        </w:rPr>
        <w:t>$170 on September 14. If you then sell 100 shares at $168 on September 30, you will have realized an $800 “profit.”</w:t>
      </w:r>
    </w:p>
    <w:p>
      <w:pPr>
        <w:spacing w:after="0" w:line="222" w:lineRule="exact"/>
        <w:rPr>
          <w:sz w:val="20"/>
          <w:szCs w:val="20"/>
          <w:color w:val="auto"/>
        </w:rPr>
      </w:pPr>
    </w:p>
    <w:p>
      <w:pPr>
        <w:ind w:left="4" w:right="300" w:firstLine="648"/>
        <w:spacing w:after="0" w:line="266" w:lineRule="auto"/>
        <w:rPr>
          <w:sz w:val="20"/>
          <w:szCs w:val="20"/>
          <w:color w:val="auto"/>
        </w:rPr>
      </w:pPr>
      <w:r>
        <w:rPr>
          <w:rFonts w:ascii="Times New Roman" w:cs="Times New Roman" w:eastAsia="Times New Roman" w:hAnsi="Times New Roman"/>
          <w:sz w:val="18"/>
          <w:szCs w:val="18"/>
          <w:color w:val="auto"/>
        </w:rPr>
        <w:t>Certain kinds of transactions may be exempt from the application of this rule, such as bona fide gifts and stock and option grants under the Company’s equity incentive plans. Elections to use stock to pay taxes and/or exercise prices in connection with awards under these plans generally are exempt if made on a six-month advance basis. Changes to and revocations of these elections are subject to the same rules.</w:t>
      </w:r>
    </w:p>
    <w:p>
      <w:pPr>
        <w:spacing w:after="0" w:line="212" w:lineRule="exact"/>
        <w:rPr>
          <w:sz w:val="20"/>
          <w:szCs w:val="20"/>
          <w:color w:val="auto"/>
        </w:rPr>
      </w:pPr>
    </w:p>
    <w:p>
      <w:pPr>
        <w:ind w:left="4" w:right="200" w:firstLine="643"/>
        <w:spacing w:after="0" w:line="259" w:lineRule="auto"/>
        <w:tabs>
          <w:tab w:leader="none" w:pos="1181"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Short Sales and Sales Against the Box</w:t>
      </w:r>
      <w:r>
        <w:rPr>
          <w:rFonts w:ascii="Times New Roman" w:cs="Times New Roman" w:eastAsia="Times New Roman" w:hAnsi="Times New Roman"/>
          <w:sz w:val="18"/>
          <w:szCs w:val="18"/>
          <w:color w:val="auto"/>
        </w:rPr>
        <w:t>. Under Section 16(c) of the Exchange Act, it is unlawful for you to sell UAL Securities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do not own (a “short sale”) or, if you do own it, to fail to deliver it within specified time periods upon sale (a sale “against the box”). The simultaneous irrevocable exercise of a stock option and sale of the underlying shares generally is exempt from this requirement, but is not exempt from the reporting requirements. Please note, while the exercise of an option will not ordinarily be matched with a simultaneous sale of the underlying shares for purposes of the short-swing trading provisions, such sale may be matched against other purchases that occur within six months of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4"/>
          </w:cols>
          <w:pgMar w:left="436" w:top="1440" w:right="339" w:bottom="1440" w:gutter="0" w:footer="0" w:header="0"/>
        </w:sectPr>
      </w:pPr>
    </w:p>
    <w:bookmarkStart w:id="232" w:name="page233"/>
    <w:bookmarkEnd w:id="232"/>
    <w:p>
      <w:pPr>
        <w:spacing w:after="0" w:line="217"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52" w:lineRule="exact"/>
        <w:rPr>
          <w:sz w:val="20"/>
          <w:szCs w:val="20"/>
          <w:color w:val="auto"/>
        </w:rPr>
      </w:pPr>
    </w:p>
    <w:p>
      <w:pPr>
        <w:ind w:left="4" w:right="220" w:hanging="4"/>
        <w:spacing w:after="0" w:line="262" w:lineRule="auto"/>
        <w:tabs>
          <w:tab w:leader="none" w:pos="537" w:val="left"/>
        </w:tabs>
        <w:numPr>
          <w:ilvl w:val="0"/>
          <w:numId w:val="1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Securities Act Rule 144</w:t>
      </w:r>
      <w:r>
        <w:rPr>
          <w:rFonts w:ascii="Times New Roman" w:cs="Times New Roman" w:eastAsia="Times New Roman" w:hAnsi="Times New Roman"/>
          <w:sz w:val="18"/>
          <w:szCs w:val="18"/>
          <w:color w:val="auto"/>
        </w:rPr>
        <w:t>. Rule 144 applies to all open market sales of UAL Securities by any “affiliate” of United Airlines Holdings, Inc.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 is a person who, directly or indirectly, has or shares the power to direct or cause the direction of the overall management and policies of United Airlines Holdings, Inc. Section 16 Individuals would ordinarily be considered affiliates (as well as former affiliates in the last 90 days) for this purpose. The relevant provisions of this rule are as follows:</w:t>
      </w:r>
    </w:p>
    <w:p>
      <w:pPr>
        <w:spacing w:after="0" w:line="203" w:lineRule="exact"/>
        <w:rPr>
          <w:rFonts w:ascii="Times New Roman" w:cs="Times New Roman" w:eastAsia="Times New Roman" w:hAnsi="Times New Roman"/>
          <w:sz w:val="18"/>
          <w:szCs w:val="18"/>
          <w:b w:val="1"/>
          <w:bCs w:val="1"/>
          <w:i w:val="1"/>
          <w:iCs w:val="1"/>
          <w:color w:val="auto"/>
        </w:rPr>
      </w:pPr>
    </w:p>
    <w:p>
      <w:pPr>
        <w:ind w:left="4" w:right="780" w:firstLine="644"/>
        <w:spacing w:after="0" w:line="286" w:lineRule="auto"/>
        <w:tabs>
          <w:tab w:leader="none" w:pos="1184"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Manner of Sale</w:t>
      </w:r>
      <w:r>
        <w:rPr>
          <w:rFonts w:ascii="Times New Roman" w:cs="Times New Roman" w:eastAsia="Times New Roman" w:hAnsi="Times New Roman"/>
          <w:sz w:val="18"/>
          <w:szCs w:val="18"/>
          <w:color w:val="auto"/>
        </w:rPr>
        <w:t>. The sale of UAL Securities by an affiliate must be made in an open market transaction through a broker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prevailing market price for no more than the usual and customary brokerage commission and with no solicitation of the buy order.</w:t>
      </w:r>
    </w:p>
    <w:p>
      <w:pPr>
        <w:spacing w:after="0" w:line="195" w:lineRule="exact"/>
        <w:rPr>
          <w:rFonts w:ascii="Times New Roman" w:cs="Times New Roman" w:eastAsia="Times New Roman" w:hAnsi="Times New Roman"/>
          <w:sz w:val="18"/>
          <w:szCs w:val="18"/>
          <w:b w:val="1"/>
          <w:bCs w:val="1"/>
          <w:color w:val="auto"/>
        </w:rPr>
      </w:pPr>
    </w:p>
    <w:p>
      <w:pPr>
        <w:ind w:left="4" w:right="240" w:firstLine="643"/>
        <w:spacing w:after="0" w:line="259" w:lineRule="auto"/>
        <w:tabs>
          <w:tab w:leader="none" w:pos="1184"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Notice of Proposed Sale</w:t>
      </w:r>
      <w:r>
        <w:rPr>
          <w:rFonts w:ascii="Times New Roman" w:cs="Times New Roman" w:eastAsia="Times New Roman" w:hAnsi="Times New Roman"/>
          <w:sz w:val="18"/>
          <w:szCs w:val="18"/>
          <w:color w:val="auto"/>
        </w:rPr>
        <w:t>. If the amount of UAL Securities proposed to be sold by an affiliate during any three month period exceeds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5,000 shares or other units or has an aggregate sales price greater than $50,000, the affiliate must file a notice of sale with the SEC and the applicable national securities exchange on Form 144 not later than the time the sell order is placed with the broker. The timing of this filing is one reason why it is critical to coordinate your sale transactions with the Corporate Secretary’s Office before the order is placed. If you are a Rule 144 affiliate, you are responsible for ensuring that your broker prepares your Form 144.</w:t>
      </w:r>
    </w:p>
    <w:p>
      <w:pPr>
        <w:spacing w:after="0" w:line="206" w:lineRule="exact"/>
        <w:rPr>
          <w:rFonts w:ascii="Times New Roman" w:cs="Times New Roman" w:eastAsia="Times New Roman" w:hAnsi="Times New Roman"/>
          <w:sz w:val="18"/>
          <w:szCs w:val="18"/>
          <w:b w:val="1"/>
          <w:bCs w:val="1"/>
          <w:color w:val="auto"/>
        </w:rPr>
      </w:pPr>
    </w:p>
    <w:p>
      <w:pPr>
        <w:ind w:left="4" w:right="580" w:firstLine="643"/>
        <w:spacing w:after="0" w:line="317" w:lineRule="auto"/>
        <w:tabs>
          <w:tab w:leader="none" w:pos="1184" w:val="left"/>
        </w:tabs>
        <w:numPr>
          <w:ilvl w:val="1"/>
          <w:numId w:val="1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Volume Limitations</w:t>
      </w:r>
      <w:r>
        <w:rPr>
          <w:rFonts w:ascii="Times New Roman" w:cs="Times New Roman" w:eastAsia="Times New Roman" w:hAnsi="Times New Roman"/>
          <w:sz w:val="17"/>
          <w:szCs w:val="17"/>
          <w:color w:val="auto"/>
        </w:rPr>
        <w:t>. The amount of UAL Securities sold in any three month period is limited to one percent of the class of 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outstanding or the average weekly reported trading volume for the class for the four weeks prior to the transaction, whichever is greater.</w:t>
      </w:r>
    </w:p>
    <w:p>
      <w:pPr>
        <w:spacing w:after="0" w:line="172" w:lineRule="exact"/>
        <w:rPr>
          <w:rFonts w:ascii="Times New Roman" w:cs="Times New Roman" w:eastAsia="Times New Roman" w:hAnsi="Times New Roman"/>
          <w:sz w:val="17"/>
          <w:szCs w:val="17"/>
          <w:b w:val="1"/>
          <w:bCs w:val="1"/>
          <w:color w:val="auto"/>
        </w:rPr>
      </w:pPr>
    </w:p>
    <w:p>
      <w:pPr>
        <w:ind w:left="1184" w:hanging="537"/>
        <w:spacing w:after="0"/>
        <w:tabs>
          <w:tab w:leader="none" w:pos="1184"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Current Public Information</w:t>
      </w:r>
      <w:r>
        <w:rPr>
          <w:rFonts w:ascii="Times New Roman" w:cs="Times New Roman" w:eastAsia="Times New Roman" w:hAnsi="Times New Roman"/>
          <w:sz w:val="18"/>
          <w:szCs w:val="18"/>
          <w:color w:val="auto"/>
        </w:rPr>
        <w:t>. United Airlines Holdings, Inc. must be current in its reporting obligations under the Exchange Act.</w:t>
      </w:r>
    </w:p>
    <w:p>
      <w:pPr>
        <w:spacing w:after="0" w:line="252" w:lineRule="exact"/>
        <w:rPr>
          <w:sz w:val="20"/>
          <w:szCs w:val="20"/>
          <w:color w:val="auto"/>
        </w:rPr>
      </w:pPr>
    </w:p>
    <w:p>
      <w:pPr>
        <w:ind w:left="544" w:hanging="544"/>
        <w:spacing w:after="0"/>
        <w:tabs>
          <w:tab w:leader="none" w:pos="544" w:val="left"/>
        </w:tabs>
        <w:numPr>
          <w:ilvl w:val="0"/>
          <w:numId w:val="1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Exchange Act Reports</w:t>
      </w:r>
      <w:r>
        <w:rPr>
          <w:rFonts w:ascii="Times New Roman" w:cs="Times New Roman" w:eastAsia="Times New Roman" w:hAnsi="Times New Roman"/>
          <w:sz w:val="18"/>
          <w:szCs w:val="18"/>
          <w:color w:val="auto"/>
        </w:rPr>
        <w:t>. Three different kinds of Exchange Act reports are applicable to Section 16 Individuals:</w:t>
      </w:r>
    </w:p>
    <w:p>
      <w:pPr>
        <w:spacing w:after="0" w:line="265" w:lineRule="exact"/>
        <w:rPr>
          <w:rFonts w:ascii="Times New Roman" w:cs="Times New Roman" w:eastAsia="Times New Roman" w:hAnsi="Times New Roman"/>
          <w:sz w:val="18"/>
          <w:szCs w:val="18"/>
          <w:b w:val="1"/>
          <w:bCs w:val="1"/>
          <w:i w:val="1"/>
          <w:iCs w:val="1"/>
          <w:color w:val="auto"/>
        </w:rPr>
      </w:pPr>
    </w:p>
    <w:p>
      <w:pPr>
        <w:jc w:val="both"/>
        <w:ind w:left="4" w:right="160" w:firstLine="643"/>
        <w:spacing w:after="0" w:line="262" w:lineRule="auto"/>
        <w:tabs>
          <w:tab w:leader="none" w:pos="1184"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Form 3</w:t>
      </w:r>
      <w:r>
        <w:rPr>
          <w:rFonts w:ascii="Times New Roman" w:cs="Times New Roman" w:eastAsia="Times New Roman" w:hAnsi="Times New Roman"/>
          <w:sz w:val="18"/>
          <w:szCs w:val="18"/>
          <w:color w:val="auto"/>
        </w:rPr>
        <w:t>. This is an initial report, which must be filed within 10 days after becoming a Section 16 Individual. It is used to report all 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that are deemed equity securities (“UAL Equity Securities”) for which beneficial ownership is attributed to a Section 16 Individual. As to this and the other Exchange Act reports described below, it may be appropriate in limited circumstances to disclaim beneficial ownership of UAL Equity Securities owned directly by others.</w:t>
      </w:r>
    </w:p>
    <w:p>
      <w:pPr>
        <w:spacing w:after="0" w:line="203" w:lineRule="exact"/>
        <w:rPr>
          <w:rFonts w:ascii="Times New Roman" w:cs="Times New Roman" w:eastAsia="Times New Roman" w:hAnsi="Times New Roman"/>
          <w:sz w:val="18"/>
          <w:szCs w:val="18"/>
          <w:b w:val="1"/>
          <w:bCs w:val="1"/>
          <w:color w:val="auto"/>
        </w:rPr>
      </w:pPr>
    </w:p>
    <w:p>
      <w:pPr>
        <w:ind w:left="4" w:right="300" w:firstLine="643"/>
        <w:spacing w:after="0" w:line="259" w:lineRule="auto"/>
        <w:tabs>
          <w:tab w:leader="none" w:pos="1184"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Form 4</w:t>
      </w:r>
      <w:r>
        <w:rPr>
          <w:rFonts w:ascii="Times New Roman" w:cs="Times New Roman" w:eastAsia="Times New Roman" w:hAnsi="Times New Roman"/>
          <w:sz w:val="18"/>
          <w:szCs w:val="18"/>
          <w:color w:val="auto"/>
        </w:rPr>
        <w:t>. This form is used to report: (i) all changes in beneficial ownership of UAL Equity Securities not exempt from the trading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of Section 16(b); (ii) any exercise or conversion of a derivative security; and (iii) any transaction with the issuer (e.g., stock option grants) exempt under paragraphs (d), (e) and (f) of Rule 16b-3. A Form 4 must be filed within two business days of the transaction. The form is also used to report voluntarily those changes in beneficial ownership that do not need to be reported until the year-end Form 5 is due. Please note that most of your transactions will have to be reported on a Form 4, including gifts.</w:t>
      </w:r>
    </w:p>
    <w:p>
      <w:pPr>
        <w:spacing w:after="0" w:line="219" w:lineRule="exact"/>
        <w:rPr>
          <w:rFonts w:ascii="Times New Roman" w:cs="Times New Roman" w:eastAsia="Times New Roman" w:hAnsi="Times New Roman"/>
          <w:sz w:val="18"/>
          <w:szCs w:val="18"/>
          <w:b w:val="1"/>
          <w:bCs w:val="1"/>
          <w:color w:val="auto"/>
        </w:rPr>
      </w:pPr>
    </w:p>
    <w:p>
      <w:pPr>
        <w:ind w:left="4" w:right="200" w:firstLine="643"/>
        <w:spacing w:after="0" w:line="264" w:lineRule="auto"/>
        <w:tabs>
          <w:tab w:leader="none" w:pos="1184"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Form 5</w:t>
      </w:r>
      <w:r>
        <w:rPr>
          <w:rFonts w:ascii="Times New Roman" w:cs="Times New Roman" w:eastAsia="Times New Roman" w:hAnsi="Times New Roman"/>
          <w:sz w:val="18"/>
          <w:szCs w:val="18"/>
          <w:color w:val="auto"/>
        </w:rPr>
        <w:t>. This form is filed annually to report all changes in beneficial ownership of UAL Equity Securities that were not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during the prior year on Form 4. If required to be filed, the Form 5 must also indicate total beneficial ownership as of the end of the fiscal year. Most of these changes in beneficial ownership must be reported on Form 4 within two business days. The Form 5 must be filed no later than the 45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the end of the fiscal year (February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4"/>
          </w:cols>
          <w:pgMar w:left="436" w:top="1440" w:right="339" w:bottom="1440" w:gutter="0" w:footer="0" w:header="0"/>
        </w:sectPr>
      </w:pPr>
    </w:p>
    <w:bookmarkStart w:id="233" w:name="page234"/>
    <w:bookmarkEnd w:id="233"/>
    <w:tbl>
      <w:tblPr>
        <w:tblLayout w:type="fixed"/>
        <w:tblInd w:w="2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74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Uni</w:t>
            </w:r>
            <w:r>
              <w:rPr>
                <w:rFonts w:ascii="Times New Roman" w:cs="Times New Roman" w:eastAsia="Times New Roman" w:hAnsi="Times New Roman"/>
                <w:sz w:val="19"/>
                <w:szCs w:val="19"/>
                <w:b w:val="1"/>
                <w:bCs w:val="1"/>
                <w:color w:val="auto"/>
              </w:rPr>
              <w:t>ted Airlines Holdings, Inc. and United Airlines, Inc. Subsidiaries</w:t>
            </w:r>
          </w:p>
        </w:tc>
        <w:tc>
          <w:tcPr>
            <w:tcW w:w="2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20" w:type="dxa"/>
            <w:vAlign w:val="bottom"/>
            <w:gridSpan w:val="2"/>
          </w:tcPr>
          <w:p>
            <w:pPr>
              <w:ind w:left="4080"/>
              <w:spacing w:after="0"/>
              <w:rPr>
                <w:sz w:val="20"/>
                <w:szCs w:val="20"/>
                <w:color w:val="auto"/>
              </w:rPr>
            </w:pPr>
            <w:r>
              <w:rPr>
                <w:rFonts w:ascii="Times New Roman" w:cs="Times New Roman" w:eastAsia="Times New Roman" w:hAnsi="Times New Roman"/>
                <w:sz w:val="20"/>
                <w:szCs w:val="20"/>
                <w:color w:val="auto"/>
              </w:rPr>
              <w:t>(as of February 12, 2026)</w:t>
            </w:r>
          </w:p>
        </w:tc>
        <w:tc>
          <w:tcPr>
            <w:tcW w:w="22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0"/>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United Airlines Holdings,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Wholly-owned subsidiaries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w:t>
            </w: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3"/>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United Airlines,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Air Wis Services,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Wisconsin</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Air Wisconsin,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Wisconsin</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Domicile Management Services, Inc. **</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CAL Cargo, S.A. de C.V.**</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CALFINCO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CALFINCO Caymans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Century Casualty Company</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Vermont</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Continental Airlines de Mexico, S.A.**</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Continental Airlines, Inc. Supplemental Retirement Plan for Pilots Trust Agreement</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Covia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Holdings,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MPH I,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Marketing,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Ltd. ***</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Aggregator,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Holdings UIP,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Holdings MIP,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SPV Partner,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GP S.à r.l.*****</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Lux 1 SCS*****</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Lux 2 SCS*****</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Presidents Club of Guam,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UABSPL Holdings,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UAL Benefits Management,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Aviation Fuels Corporation</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Airlines Ventures,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Airlines Ventures Management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Airlines Business Services Private Limited**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Ground Express,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Travel Services,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Vacations,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Westwind School of Aeronautics, Phoenix,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*Subsidiaries of United Airlines Holdings, Inc. are wholly owned unless otherwise indicated</w:t>
      </w:r>
    </w:p>
    <w:p>
      <w:pPr>
        <w:spacing w:after="0" w:line="24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i w:val="1"/>
          <w:iCs w:val="1"/>
          <w:color w:val="auto"/>
        </w:rPr>
        <w:t>**Domicile Management Services Inc. is 99.9% owned by Air Wis Services, Inc. and 0.1% owned by United Airlines, Inc. CAL Cargo, S.A. de C.V. is 99.99% owned by United Airlines, Inc. and .01% owned by CALFINCO Inc. Continental Airlines de Mexico, S.A. is 99.9997% owned by United Airlines, Inc. and .0003% owned by private entities. UAL Benefits Management, Inc. has 100% of its Class A Common Stock owned by United Airlines, Inc. and 100% of its Class B Common Stock owned by Health Care Services Corporation. United Airlines Business Services</w:t>
      </w:r>
    </w:p>
    <w:p>
      <w:pPr>
        <w:sectPr>
          <w:pgSz w:w="11900" w:h="16838" w:orient="portrait"/>
          <w:cols w:equalWidth="0" w:num="1">
            <w:col w:w="11240"/>
          </w:cols>
          <w:pgMar w:left="320" w:top="117"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0"/>
          <w:szCs w:val="20"/>
          <w:i w:val="1"/>
          <w:iCs w:val="1"/>
          <w:color w:val="auto"/>
        </w:rPr>
        <w:t>Private Limited is 99.99% owned by United Airlines, Inc. and 0.01% owned by UABSPL Holdings, Inc. on behalf of United Airlines, Inc.</w:t>
      </w:r>
    </w:p>
    <w:p>
      <w:pPr>
        <w:spacing w:after="0" w:line="25" w:lineRule="exact"/>
        <w:rPr>
          <w:sz w:val="20"/>
          <w:szCs w:val="20"/>
          <w:color w:val="auto"/>
        </w:rPr>
      </w:pPr>
    </w:p>
    <w:p>
      <w:pPr>
        <w:ind w:left="360" w:hanging="352"/>
        <w:spacing w:after="0"/>
        <w:tabs>
          <w:tab w:leader="none" w:pos="360" w:val="left"/>
        </w:tabs>
        <w:numPr>
          <w:ilvl w:val="0"/>
          <w:numId w:val="18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1 special share in Mileage Plus Intellectual Property Assets, Ltd. is held by a third party share trustee</w:t>
      </w:r>
    </w:p>
    <w:p>
      <w:pPr>
        <w:ind w:left="460" w:hanging="452"/>
        <w:spacing w:after="0"/>
        <w:tabs>
          <w:tab w:leader="none" w:pos="460" w:val="left"/>
        </w:tabs>
        <w:numPr>
          <w:ilvl w:val="0"/>
          <w:numId w:val="18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Mileage Plus Intellectual Property Assets SPV Partner, Ltd. is a wholly owned subsidiary of Mileage Plus Intellectual Property Assets,</w:t>
      </w:r>
    </w:p>
    <w:p>
      <w:pPr>
        <w:spacing w:after="0" w:line="215" w:lineRule="exact"/>
        <w:rPr>
          <w:sz w:val="20"/>
          <w:szCs w:val="20"/>
          <w:color w:val="auto"/>
        </w:rPr>
      </w:pPr>
    </w:p>
    <w:p>
      <w:pPr>
        <w:ind w:right="240" w:firstLine="8"/>
        <w:spacing w:after="0" w:line="248" w:lineRule="auto"/>
        <w:tabs>
          <w:tab w:leader="none" w:pos="544" w:val="left"/>
        </w:tabs>
        <w:numPr>
          <w:ilvl w:val="0"/>
          <w:numId w:val="18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Mileage Plus Intellectual Property Assets Lux 1 SCS is 4.76% owned by Mileage Plus Intellectual Property Assets GP S.à r.l. and 95.23% owned by Mileage Plus Intellectual Property Assets Lux 2 SCS, which itself is 4.76% owned by Mileage Plus Intellectual Property Assets GP S.à r.l. and 95.23% owned by Mileage Plus Intellectual Property Assets, Ltd.</w:t>
      </w:r>
    </w:p>
    <w:p>
      <w:pPr>
        <w:spacing w:after="0" w:line="1" w:lineRule="exact"/>
        <w:rPr>
          <w:rFonts w:ascii="Times New Roman" w:cs="Times New Roman" w:eastAsia="Times New Roman" w:hAnsi="Times New Roman"/>
          <w:sz w:val="20"/>
          <w:szCs w:val="20"/>
          <w:i w:val="1"/>
          <w:iCs w:val="1"/>
          <w:color w:val="auto"/>
        </w:rPr>
      </w:pPr>
    </w:p>
    <w:p>
      <w:pPr>
        <w:spacing w:after="0" w:line="246"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Mileage Plus Intellectual Property Assets Aggregator, Ltd. is 60% owned by Mileage Plus Intellectual Property Assets Holdings MIP, Ltd. and 40% owned by Mileage Plus Intellectual Property Assets Holdings UIP, Ltd.</w:t>
      </w:r>
    </w:p>
    <w:p>
      <w:pPr>
        <w:sectPr>
          <w:pgSz w:w="11900" w:h="16838" w:orient="portrait"/>
          <w:cols w:equalWidth="0" w:num="1">
            <w:col w:w="11220"/>
          </w:cols>
          <w:pgMar w:left="320" w:top="882" w:right="35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71" w:lineRule="exact"/>
        <w:rPr>
          <w:sz w:val="20"/>
          <w:szCs w:val="20"/>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333-279885),</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333-275664),</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333-272209),</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333-272208),</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333-167801),</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333-197815),</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333-131434),</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333-218637),</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333-256528),</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S-8 333-151778), and</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POS No. 333-218637);</w:t>
      </w:r>
    </w:p>
    <w:p>
      <w:pPr>
        <w:spacing w:after="0" w:line="1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of our reports dated February 12, 2026, with respect to the consolidated financial statements of United Airlines Holdings, Inc. and the effectiveness of internal control over financial reporting of United Airlines Holdings, Inc., included in this Annual Report (Form 10-K) of United Airlines Holdings, Inc. for the year ended December 31, 2025.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ectPr>
          <w:pgSz w:w="11900" w:h="16838" w:orient="portrait"/>
          <w:cols w:equalWidth="0" w:num="1">
            <w:col w:w="11240"/>
          </w:cols>
          <w:pgMar w:left="320" w:top="1211"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S-3 No. 333-275664-01) and in the related Prospectus of our report dated February 12, 2026 with respect to the consolidated financial statements of United Airlines, Inc., included in this Annual Report (Form 10-K) of United Airlines,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ectPr>
          <w:pgSz w:w="11900" w:h="16838" w:orient="portrait"/>
          <w:cols w:equalWidth="0" w:num="1">
            <w:col w:w="11240"/>
          </w:cols>
          <w:pgMar w:left="320" w:top="1211"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Scott Kirby, certify that:</w:t>
      </w:r>
    </w:p>
    <w:p>
      <w:pPr>
        <w:spacing w:after="0" w:line="77" w:lineRule="exact"/>
        <w:rPr>
          <w:sz w:val="20"/>
          <w:szCs w:val="20"/>
          <w:color w:val="auto"/>
        </w:rPr>
      </w:pPr>
    </w:p>
    <w:p>
      <w:pPr>
        <w:ind w:left="440" w:hanging="392"/>
        <w:spacing w:after="0"/>
        <w:tabs>
          <w:tab w:leader="none" w:pos="4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United Airlines Holdings, Inc. (the "Company");</w:t>
      </w:r>
    </w:p>
    <w:p>
      <w:pPr>
        <w:spacing w:after="0" w:line="90" w:lineRule="exact"/>
        <w:rPr>
          <w:rFonts w:ascii="Times New Roman" w:cs="Times New Roman" w:eastAsia="Times New Roman" w:hAnsi="Times New Roman"/>
          <w:sz w:val="18"/>
          <w:szCs w:val="18"/>
          <w:color w:val="auto"/>
        </w:rPr>
      </w:pPr>
    </w:p>
    <w:p>
      <w:pPr>
        <w:jc w:val="both"/>
        <w:ind w:left="460" w:right="340" w:hanging="412"/>
        <w:spacing w:after="0" w:line="266" w:lineRule="auto"/>
        <w:tabs>
          <w:tab w:leader="none" w:pos="44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44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460" w:right="320" w:hanging="412"/>
        <w:spacing w:after="0" w:line="266" w:lineRule="auto"/>
        <w:tabs>
          <w:tab w:leader="none" w:pos="44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3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860" w:right="480" w:hanging="407"/>
        <w:spacing w:after="0" w:line="266" w:lineRule="auto"/>
        <w:tabs>
          <w:tab w:leader="none" w:pos="84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860" w:right="660" w:hanging="407"/>
        <w:spacing w:after="0" w:line="312" w:lineRule="auto"/>
        <w:tabs>
          <w:tab w:leader="none" w:pos="835"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80" w:hanging="407"/>
        <w:spacing w:after="0" w:line="266" w:lineRule="auto"/>
        <w:tabs>
          <w:tab w:leader="none" w:pos="84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460" w:right="220" w:hanging="412"/>
        <w:spacing w:after="0" w:line="282" w:lineRule="auto"/>
        <w:tabs>
          <w:tab w:leader="none" w:pos="44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860" w:right="100" w:hanging="407"/>
        <w:spacing w:after="0" w:line="282" w:lineRule="auto"/>
        <w:tabs>
          <w:tab w:leader="none" w:pos="82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60" w:hanging="407"/>
        <w:spacing w:after="0" w:line="282" w:lineRule="auto"/>
        <w:tabs>
          <w:tab w:leader="none" w:pos="83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7686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48">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 Scott Kirby</w:t>
      </w:r>
    </w:p>
    <w:p>
      <w:pPr>
        <w:ind w:lef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2026</w:t>
      </w:r>
    </w:p>
    <w:p>
      <w:pPr>
        <w:sectPr>
          <w:pgSz w:w="11900" w:h="16838" w:orient="portrait"/>
          <w:cols w:equalWidth="0" w:num="1">
            <w:col w:w="11240"/>
          </w:cols>
          <w:pgMar w:left="320" w:top="887"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Leskinen, certify that:</w:t>
      </w:r>
    </w:p>
    <w:p>
      <w:pPr>
        <w:spacing w:after="0" w:line="77" w:lineRule="exact"/>
        <w:rPr>
          <w:sz w:val="20"/>
          <w:szCs w:val="20"/>
          <w:color w:val="auto"/>
        </w:rPr>
      </w:pPr>
    </w:p>
    <w:p>
      <w:pPr>
        <w:ind w:left="440" w:hanging="392"/>
        <w:spacing w:after="0"/>
        <w:tabs>
          <w:tab w:leader="none" w:pos="4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United Airlines Holdings, Inc. (the "Company");</w:t>
      </w:r>
    </w:p>
    <w:p>
      <w:pPr>
        <w:spacing w:after="0" w:line="90" w:lineRule="exact"/>
        <w:rPr>
          <w:rFonts w:ascii="Times New Roman" w:cs="Times New Roman" w:eastAsia="Times New Roman" w:hAnsi="Times New Roman"/>
          <w:sz w:val="18"/>
          <w:szCs w:val="18"/>
          <w:color w:val="auto"/>
        </w:rPr>
      </w:pPr>
    </w:p>
    <w:p>
      <w:pPr>
        <w:jc w:val="both"/>
        <w:ind w:left="460" w:right="340" w:hanging="412"/>
        <w:spacing w:after="0" w:line="266" w:lineRule="auto"/>
        <w:tabs>
          <w:tab w:leader="none" w:pos="44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44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460" w:right="320" w:hanging="412"/>
        <w:spacing w:after="0" w:line="266" w:lineRule="auto"/>
        <w:tabs>
          <w:tab w:leader="none" w:pos="44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3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860" w:right="480" w:hanging="407"/>
        <w:spacing w:after="0" w:line="266" w:lineRule="auto"/>
        <w:tabs>
          <w:tab w:leader="none" w:pos="84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860" w:right="660" w:hanging="407"/>
        <w:spacing w:after="0" w:line="312" w:lineRule="auto"/>
        <w:tabs>
          <w:tab w:leader="none" w:pos="835"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80" w:hanging="407"/>
        <w:spacing w:after="0" w:line="266" w:lineRule="auto"/>
        <w:tabs>
          <w:tab w:leader="none" w:pos="84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460" w:right="220" w:hanging="412"/>
        <w:spacing w:after="0" w:line="282" w:lineRule="auto"/>
        <w:tabs>
          <w:tab w:leader="none" w:pos="44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860" w:right="100" w:hanging="407"/>
        <w:spacing w:after="0" w:line="282" w:lineRule="auto"/>
        <w:tabs>
          <w:tab w:leader="none" w:pos="82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60" w:hanging="407"/>
        <w:spacing w:after="0" w:line="282" w:lineRule="auto"/>
        <w:tabs>
          <w:tab w:leader="none" w:pos="83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9229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4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Michael Leskinen</w:t>
      </w:r>
    </w:p>
    <w:p>
      <w:pPr>
        <w:ind w:left="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2026</w:t>
      </w:r>
    </w:p>
    <w:p>
      <w:pPr>
        <w:sectPr>
          <w:pgSz w:w="11900" w:h="16838" w:orient="portrait"/>
          <w:cols w:equalWidth="0" w:num="1">
            <w:col w:w="11240"/>
          </w:cols>
          <w:pgMar w:left="320" w:top="887"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Scott Kirby, certify that:</w:t>
      </w:r>
    </w:p>
    <w:p>
      <w:pPr>
        <w:spacing w:after="0" w:line="77" w:lineRule="exact"/>
        <w:rPr>
          <w:sz w:val="20"/>
          <w:szCs w:val="20"/>
          <w:color w:val="auto"/>
        </w:rPr>
      </w:pPr>
    </w:p>
    <w:p>
      <w:pPr>
        <w:ind w:left="440" w:hanging="392"/>
        <w:spacing w:after="0"/>
        <w:tabs>
          <w:tab w:leader="none" w:pos="4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United Airlines, Inc. (the "Company");</w:t>
      </w:r>
    </w:p>
    <w:p>
      <w:pPr>
        <w:spacing w:after="0" w:line="90" w:lineRule="exact"/>
        <w:rPr>
          <w:rFonts w:ascii="Times New Roman" w:cs="Times New Roman" w:eastAsia="Times New Roman" w:hAnsi="Times New Roman"/>
          <w:sz w:val="18"/>
          <w:szCs w:val="18"/>
          <w:color w:val="auto"/>
        </w:rPr>
      </w:pPr>
    </w:p>
    <w:p>
      <w:pPr>
        <w:jc w:val="both"/>
        <w:ind w:left="460" w:right="340" w:hanging="412"/>
        <w:spacing w:after="0" w:line="266" w:lineRule="auto"/>
        <w:tabs>
          <w:tab w:leader="none" w:pos="44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44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460" w:right="320" w:hanging="412"/>
        <w:spacing w:after="0" w:line="266" w:lineRule="auto"/>
        <w:tabs>
          <w:tab w:leader="none" w:pos="44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3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860" w:right="480" w:hanging="407"/>
        <w:spacing w:after="0" w:line="266" w:lineRule="auto"/>
        <w:tabs>
          <w:tab w:leader="none" w:pos="84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860" w:right="660" w:hanging="407"/>
        <w:spacing w:after="0" w:line="312" w:lineRule="auto"/>
        <w:tabs>
          <w:tab w:leader="none" w:pos="835"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80" w:hanging="407"/>
        <w:spacing w:after="0" w:line="266" w:lineRule="auto"/>
        <w:tabs>
          <w:tab w:leader="none" w:pos="84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460" w:right="220" w:hanging="412"/>
        <w:spacing w:after="0" w:line="282" w:lineRule="auto"/>
        <w:tabs>
          <w:tab w:leader="none" w:pos="44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860" w:right="100" w:hanging="407"/>
        <w:spacing w:after="0" w:line="282" w:lineRule="auto"/>
        <w:tabs>
          <w:tab w:leader="none" w:pos="82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60" w:hanging="407"/>
        <w:spacing w:after="0" w:line="282" w:lineRule="auto"/>
        <w:tabs>
          <w:tab w:leader="none" w:pos="83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7686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5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 Scott Kirby</w:t>
      </w:r>
    </w:p>
    <w:p>
      <w:pPr>
        <w:ind w:lef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2026</w:t>
      </w:r>
    </w:p>
    <w:p>
      <w:pPr>
        <w:sectPr>
          <w:pgSz w:w="11900" w:h="16838" w:orient="portrait"/>
          <w:cols w:equalWidth="0" w:num="1">
            <w:col w:w="11240"/>
          </w:cols>
          <w:pgMar w:left="320" w:top="1130"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Leskinen, certify that:</w:t>
      </w:r>
    </w:p>
    <w:p>
      <w:pPr>
        <w:spacing w:after="0" w:line="77" w:lineRule="exact"/>
        <w:rPr>
          <w:sz w:val="20"/>
          <w:szCs w:val="20"/>
          <w:color w:val="auto"/>
        </w:rPr>
      </w:pPr>
    </w:p>
    <w:p>
      <w:pPr>
        <w:ind w:left="440" w:hanging="392"/>
        <w:spacing w:after="0"/>
        <w:tabs>
          <w:tab w:leader="none" w:pos="4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United Airlines, Inc. (the "Company");</w:t>
      </w:r>
    </w:p>
    <w:p>
      <w:pPr>
        <w:spacing w:after="0" w:line="90" w:lineRule="exact"/>
        <w:rPr>
          <w:rFonts w:ascii="Times New Roman" w:cs="Times New Roman" w:eastAsia="Times New Roman" w:hAnsi="Times New Roman"/>
          <w:sz w:val="18"/>
          <w:szCs w:val="18"/>
          <w:color w:val="auto"/>
        </w:rPr>
      </w:pPr>
    </w:p>
    <w:p>
      <w:pPr>
        <w:jc w:val="both"/>
        <w:ind w:left="460" w:right="340" w:hanging="412"/>
        <w:spacing w:after="0" w:line="266" w:lineRule="auto"/>
        <w:tabs>
          <w:tab w:leader="none" w:pos="44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44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460" w:right="320" w:hanging="412"/>
        <w:spacing w:after="0" w:line="266" w:lineRule="auto"/>
        <w:tabs>
          <w:tab w:leader="none" w:pos="44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3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860" w:right="480" w:hanging="407"/>
        <w:spacing w:after="0" w:line="266" w:lineRule="auto"/>
        <w:tabs>
          <w:tab w:leader="none" w:pos="84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860" w:right="660" w:hanging="407"/>
        <w:spacing w:after="0" w:line="312" w:lineRule="auto"/>
        <w:tabs>
          <w:tab w:leader="none" w:pos="835"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80" w:hanging="407"/>
        <w:spacing w:after="0" w:line="266" w:lineRule="auto"/>
        <w:tabs>
          <w:tab w:leader="none" w:pos="84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460" w:right="220" w:hanging="412"/>
        <w:spacing w:after="0" w:line="282" w:lineRule="auto"/>
        <w:tabs>
          <w:tab w:leader="none" w:pos="44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860" w:right="100" w:hanging="407"/>
        <w:spacing w:after="0" w:line="282" w:lineRule="auto"/>
        <w:tabs>
          <w:tab w:leader="none" w:pos="82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60" w:hanging="407"/>
        <w:spacing w:after="0" w:line="282" w:lineRule="auto"/>
        <w:tabs>
          <w:tab w:leader="none" w:pos="83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9229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5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Michael Leskinen</w:t>
      </w:r>
    </w:p>
    <w:p>
      <w:pPr>
        <w:ind w:left="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2026</w:t>
      </w:r>
    </w:p>
    <w:p>
      <w:pPr>
        <w:sectPr>
          <w:pgSz w:w="11900" w:h="16838" w:orient="portrait"/>
          <w:cols w:equalWidth="0" w:num="1">
            <w:col w:w="11240"/>
          </w:cols>
          <w:pgMar w:left="320" w:top="1130"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United Airlines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undersigned officer certifies that to the best of his knowledge based on a review of the annual report on Form 10-K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of United Airlines Holdings, Inc. (the "Report"):</w:t>
      </w:r>
    </w:p>
    <w:p>
      <w:pPr>
        <w:spacing w:after="0" w:line="58" w:lineRule="exact"/>
        <w:rPr>
          <w:sz w:val="20"/>
          <w:szCs w:val="20"/>
          <w:color w:val="auto"/>
        </w:rPr>
      </w:pPr>
    </w:p>
    <w:p>
      <w:pPr>
        <w:ind w:left="840" w:hanging="387"/>
        <w:spacing w:after="0"/>
        <w:tabs>
          <w:tab w:leader="none" w:pos="8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860" w:right="460" w:hanging="407"/>
        <w:spacing w:after="0" w:line="282" w:lineRule="auto"/>
        <w:tabs>
          <w:tab w:leader="none" w:pos="84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 Airlines Holdings,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2026</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5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53">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United Airlines,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undersigned officer certifies that to the best of his knowledge based on a review of the annual report on Form 10-K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of United Airlines, Inc. (the "Report"):</w:t>
      </w:r>
    </w:p>
    <w:p>
      <w:pPr>
        <w:spacing w:after="0" w:line="58" w:lineRule="exact"/>
        <w:rPr>
          <w:sz w:val="20"/>
          <w:szCs w:val="20"/>
          <w:color w:val="auto"/>
        </w:rPr>
      </w:pPr>
    </w:p>
    <w:p>
      <w:pPr>
        <w:ind w:left="840" w:hanging="387"/>
        <w:spacing w:after="0"/>
        <w:tabs>
          <w:tab w:leader="none" w:pos="8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860" w:right="460" w:hanging="407"/>
        <w:spacing w:after="0" w:line="282" w:lineRule="auto"/>
        <w:tabs>
          <w:tab w:leader="none" w:pos="84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 Airlines,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5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5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1."/>
      <w:numFmt w:val="decimal"/>
      <w:start w:val="1"/>
    </w:lvl>
  </w:abstractNum>
  <w:abstractNum w:abstractNumId="4">
    <w:nsid w:val="7D5E18F8"/>
    <w:multiLevelType w:val="hybridMultilevel"/>
    <w:lvl w:ilvl="0">
      <w:lvlJc w:val="left"/>
      <w:lvlText w:val="1"/>
      <w:numFmt w:val="bullet"/>
      <w:start w:val="1"/>
    </w:lvl>
  </w:abstractNum>
  <w:abstractNum w:abstractNumId="5">
    <w:nsid w:val="5F3534A4"/>
    <w:multiLevelType w:val="hybridMultilevel"/>
    <w:lvl w:ilvl="0">
      <w:lvlJc w:val="left"/>
      <w:lvlText w:val="•"/>
      <w:numFmt w:val="bullet"/>
      <w:start w:val="1"/>
    </w:lvl>
    <w:lvl w:ilvl="1">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1)"/>
      <w:numFmt w:val="lowerLetter"/>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1."/>
      <w:numFmt w:val="decimal"/>
      <w:start w:val="1"/>
    </w:lvl>
  </w:abstractNum>
  <w:abstractNum w:abstractNumId="10">
    <w:nsid w:val="14FCE74E"/>
    <w:multiLevelType w:val="hybridMultilevel"/>
    <w:lvl w:ilvl="0">
      <w:lvlJc w:val="left"/>
      <w:lvlText w:val="(%1)"/>
      <w:numFmt w:val="lowerRoman"/>
      <w:start w:val="2"/>
    </w:lvl>
  </w:abstractNum>
  <w:abstractNum w:abstractNumId="11">
    <w:nsid w:val="6A3DD3E8"/>
    <w:multiLevelType w:val="hybridMultilevel"/>
    <w:lvl w:ilvl="0">
      <w:lvlJc w:val="left"/>
      <w:lvlText w:val="%1."/>
      <w:numFmt w:val="decimal"/>
      <w:start w:val="2"/>
    </w:lvl>
  </w:abstractNum>
  <w:abstractNum w:abstractNumId="12">
    <w:nsid w:val="71C91298"/>
    <w:multiLevelType w:val="hybridMultilevel"/>
    <w:lvl w:ilvl="0">
      <w:lvlJc w:val="left"/>
      <w:lvlText w:val="%1."/>
      <w:numFmt w:val="decimal"/>
      <w:start w:val="3"/>
    </w:lvl>
  </w:abstractNum>
  <w:abstractNum w:abstractNumId="13">
    <w:nsid w:val="9DAF632"/>
    <w:multiLevelType w:val="hybridMultilevel"/>
    <w:lvl w:ilvl="0">
      <w:lvlJc w:val="left"/>
      <w:lvlText w:val="%1."/>
      <w:numFmt w:val="decimal"/>
      <w:start w:val="4"/>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1)"/>
      <w:numFmt w:val="lowerLetter"/>
      <w:start w:val="1"/>
    </w:lvl>
  </w:abstractNum>
  <w:abstractNum w:abstractNumId="16">
    <w:nsid w:val="5092CA79"/>
    <w:multiLevelType w:val="hybridMultilevel"/>
    <w:lvl w:ilvl="0">
      <w:lvlJc w:val="left"/>
      <w:lvlText w:val="(%1)"/>
      <w:numFmt w:val="lowerLetter"/>
      <w:start w:val="1"/>
    </w:lvl>
  </w:abstractNum>
  <w:abstractNum w:abstractNumId="17">
    <w:nsid w:val="1D545C4D"/>
    <w:multiLevelType w:val="hybridMultilevel"/>
    <w:lvl w:ilvl="0">
      <w:lvlJc w:val="left"/>
      <w:lvlText w:val="•"/>
      <w:numFmt w:val="bullet"/>
      <w:start w:val="1"/>
    </w:lvl>
    <w:lvl w:ilvl="1">
      <w:lvlJc w:val="left"/>
      <w:lvlText w:val="\endash "/>
      <w:numFmt w:val="bullet"/>
      <w:start w:val="1"/>
    </w:lvl>
  </w:abstractNum>
  <w:abstractNum w:abstractNumId="18">
    <w:nsid w:val="59ADEA3D"/>
    <w:multiLevelType w:val="hybridMultilevel"/>
    <w:lvl w:ilvl="0">
      <w:lvlJc w:val="left"/>
      <w:lvlText w:val="(%1)"/>
      <w:numFmt w:val="lowerLetter"/>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abstractNum>
  <w:abstractNum w:abstractNumId="21">
    <w:nsid w:val="1D9F6E5F"/>
    <w:multiLevelType w:val="hybridMultilevel"/>
    <w:lvl w:ilvl="0">
      <w:lvlJc w:val="left"/>
      <w:lvlText w:val="(%1)"/>
      <w:numFmt w:val="lowerLetter"/>
      <w:start w:val="1"/>
    </w:lvl>
  </w:abstractNum>
  <w:abstractNum w:abstractNumId="22">
    <w:nsid w:val="97E1B4E"/>
    <w:multiLevelType w:val="hybridMultilevel"/>
    <w:lvl w:ilvl="0">
      <w:lvlJc w:val="left"/>
      <w:lvlText w:val="(%1)"/>
      <w:numFmt w:val="lowerLetter"/>
      <w:start w:val="2"/>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1)"/>
      <w:numFmt w:val="lowerLetter"/>
      <w:start w:val="1"/>
    </w:lvl>
  </w:abstractNum>
  <w:abstractNum w:abstractNumId="25">
    <w:nsid w:val="53584BCB"/>
    <w:multiLevelType w:val="hybridMultilevel"/>
    <w:lvl w:ilvl="0">
      <w:lvlJc w:val="left"/>
      <w:lvlText w:val="•"/>
      <w:numFmt w:val="bullet"/>
      <w:start w:val="1"/>
    </w:lvl>
  </w:abstractNum>
  <w:abstractNum w:abstractNumId="26">
    <w:nsid w:val="415E286C"/>
    <w:multiLevelType w:val="hybridMultilevel"/>
    <w:lvl w:ilvl="0">
      <w:lvlJc w:val="left"/>
      <w:lvlText w:val="•"/>
      <w:numFmt w:val="bullet"/>
      <w:start w:val="1"/>
    </w:lvl>
  </w:abstractNum>
  <w:abstractNum w:abstractNumId="27">
    <w:nsid w:val="7C58FD05"/>
    <w:multiLevelType w:val="hybridMultilevel"/>
    <w:lvl w:ilvl="0">
      <w:lvlJc w:val="left"/>
      <w:lvlText w:val="(%1)"/>
      <w:numFmt w:val="lowerLetter"/>
      <w:start w:val="1"/>
    </w:lvl>
  </w:abstractNum>
  <w:abstractNum w:abstractNumId="28">
    <w:nsid w:val="23D86AAC"/>
    <w:multiLevelType w:val="hybridMultilevel"/>
    <w:lvl w:ilvl="0">
      <w:lvlJc w:val="left"/>
      <w:lvlText w:val="(%1)"/>
      <w:numFmt w:val="lowerLetter"/>
      <w:start w:val="1"/>
    </w:lvl>
  </w:abstractNum>
  <w:abstractNum w:abstractNumId="29">
    <w:nsid w:val="45E6D486"/>
    <w:multiLevelType w:val="hybridMultilevel"/>
    <w:lvl w:ilvl="0">
      <w:lvlJc w:val="left"/>
      <w:lvlText w:val="(%1)"/>
      <w:numFmt w:val="lowerLetter"/>
      <w:start w:val="1"/>
    </w:lvl>
  </w:abstractNum>
  <w:abstractNum w:abstractNumId="30">
    <w:nsid w:val="5C10FE21"/>
    <w:multiLevelType w:val="hybridMultilevel"/>
    <w:lvl w:ilvl="0">
      <w:lvlJc w:val="left"/>
      <w:lvlText w:val="(%1)"/>
      <w:numFmt w:val="lowerLetter"/>
      <w:start w:val="1"/>
    </w:lvl>
  </w:abstractNum>
  <w:abstractNum w:abstractNumId="31">
    <w:nsid w:val="E7FFA2B"/>
    <w:multiLevelType w:val="hybridMultilevel"/>
    <w:lvl w:ilvl="0">
      <w:lvlJc w:val="left"/>
      <w:lvlText w:val="•"/>
      <w:numFmt w:val="bullet"/>
      <w:start w:val="1"/>
    </w:lvl>
  </w:abstractNum>
  <w:abstractNum w:abstractNumId="32">
    <w:nsid w:val="3C5991AA"/>
    <w:multiLevelType w:val="hybridMultilevel"/>
    <w:lvl w:ilvl="0">
      <w:lvlJc w:val="left"/>
      <w:lvlText w:val="(%1)"/>
      <w:numFmt w:val="lowerLetter"/>
      <w:start w:val="1"/>
    </w:lvl>
  </w:abstractNum>
  <w:abstractNum w:abstractNumId="33">
    <w:nsid w:val="4BD8591A"/>
    <w:multiLevelType w:val="hybridMultilevel"/>
    <w:lvl w:ilvl="0">
      <w:lvlJc w:val="left"/>
      <w:lvlText w:val="(%1)"/>
      <w:numFmt w:val="lowerLetter"/>
      <w:start w:val="1"/>
    </w:lvl>
  </w:abstractNum>
  <w:abstractNum w:abstractNumId="34">
    <w:nsid w:val="78DF6A55"/>
    <w:multiLevelType w:val="hybridMultilevel"/>
    <w:lvl w:ilvl="0">
      <w:lvlJc w:val="left"/>
      <w:lvlText w:val="(%1)"/>
      <w:numFmt w:val="lowerLetter"/>
      <w:start w:val="1"/>
    </w:lvl>
    <w:lvl w:ilvl="1">
      <w:lvlJc w:val="left"/>
      <w:lvlText w:val="(%2)"/>
      <w:numFmt w:val="decimal"/>
      <w:start w:val="1"/>
    </w:lvl>
  </w:abstractNum>
  <w:abstractNum w:abstractNumId="35">
    <w:nsid w:val="39B7AAA2"/>
    <w:multiLevelType w:val="hybridMultilevel"/>
    <w:lvl w:ilvl="0">
      <w:lvlJc w:val="left"/>
      <w:lvlText w:val="†"/>
      <w:numFmt w:val="bullet"/>
      <w:start w:val="1"/>
    </w:lvl>
  </w:abstractNum>
  <w:abstractNum w:abstractNumId="36">
    <w:nsid w:val="2B0D8DBE"/>
    <w:multiLevelType w:val="hybridMultilevel"/>
    <w:lvl w:ilvl="0">
      <w:lvlJc w:val="left"/>
      <w:lvlText w:val="^"/>
      <w:numFmt w:val="bullet"/>
      <w:start w:val="1"/>
    </w:lvl>
  </w:abstractNum>
  <w:abstractNum w:abstractNumId="37">
    <w:nsid w:val="6C80EC70"/>
    <w:multiLevelType w:val="hybridMultilevel"/>
    <w:lvl w:ilvl="0">
      <w:lvlJc w:val="left"/>
      <w:lvlText w:val="*"/>
      <w:numFmt w:val="bullet"/>
      <w:start w:val="1"/>
    </w:lvl>
  </w:abstractNum>
  <w:abstractNum w:abstractNumId="38">
    <w:nsid w:val="379E21B5"/>
    <w:multiLevelType w:val="hybridMultilevel"/>
    <w:lvl w:ilvl="0">
      <w:lvlJc w:val="left"/>
      <w:lvlText w:val="•"/>
      <w:numFmt w:val="bullet"/>
      <w:start w:val="1"/>
    </w:lvl>
  </w:abstractNum>
  <w:abstractNum w:abstractNumId="39">
    <w:nsid w:val="69E373"/>
    <w:multiLevelType w:val="hybridMultilevel"/>
    <w:lvl w:ilvl="0">
      <w:lvlJc w:val="left"/>
      <w:lvlText w:val="•"/>
      <w:numFmt w:val="bullet"/>
      <w:start w:val="1"/>
    </w:lvl>
  </w:abstractNum>
  <w:abstractNum w:abstractNumId="40">
    <w:nsid w:val="2C27173B"/>
    <w:multiLevelType w:val="hybridMultilevel"/>
    <w:lvl w:ilvl="0">
      <w:lvlJc w:val="left"/>
      <w:lvlText w:val="•"/>
      <w:numFmt w:val="bullet"/>
      <w:start w:val="1"/>
    </w:lvl>
  </w:abstractNum>
  <w:abstractNum w:abstractNumId="41">
    <w:nsid w:val="4C9B0904"/>
    <w:multiLevelType w:val="hybridMultilevel"/>
    <w:lvl w:ilvl="0">
      <w:lvlJc w:val="left"/>
      <w:lvlText w:val="(%1)"/>
      <w:numFmt w:val="lowerLetter"/>
      <w:start w:val="4"/>
    </w:lvl>
  </w:abstractNum>
  <w:abstractNum w:abstractNumId="42">
    <w:nsid w:val="6AA7B75C"/>
    <w:multiLevelType w:val="hybridMultilevel"/>
    <w:lvl w:ilvl="0">
      <w:lvlJc w:val="left"/>
      <w:lvlText w:val="•"/>
      <w:numFmt w:val="bullet"/>
      <w:start w:val="1"/>
    </w:lvl>
  </w:abstractNum>
  <w:abstractNum w:abstractNumId="43">
    <w:nsid w:val="1DF029D3"/>
    <w:multiLevelType w:val="hybridMultilevel"/>
    <w:lvl w:ilvl="0">
      <w:lvlJc w:val="left"/>
      <w:lvlText w:val="•"/>
      <w:numFmt w:val="bullet"/>
      <w:start w:val="1"/>
    </w:lvl>
  </w:abstractNum>
  <w:abstractNum w:abstractNumId="44">
    <w:nsid w:val="5675FF36"/>
    <w:multiLevelType w:val="hybridMultilevel"/>
    <w:lvl w:ilvl="0">
      <w:lvlJc w:val="left"/>
      <w:lvlText w:val="%1"/>
      <w:numFmt w:val="upperLetter"/>
      <w:start w:val="1"/>
    </w:lvl>
    <w:lvl w:ilvl="1">
      <w:lvlJc w:val="left"/>
      <w:lvlText w:val="%2."/>
      <w:numFmt w:val="upperLetter"/>
      <w:start w:val="9"/>
    </w:lvl>
  </w:abstractNum>
  <w:abstractNum w:abstractNumId="45">
    <w:nsid w:val="3DD15094"/>
    <w:multiLevelType w:val="hybridMultilevel"/>
    <w:lvl w:ilvl="0">
      <w:lvlJc w:val="left"/>
      <w:lvlText w:val="%1."/>
      <w:numFmt w:val="upperLetter"/>
      <w:start w:val="1"/>
    </w:lvl>
    <w:lvl w:ilvl="1">
      <w:lvlJc w:val="left"/>
      <w:lvlText w:val="%2"/>
      <w:numFmt w:val="upperLetter"/>
      <w:start w:val="1"/>
    </w:lvl>
  </w:abstractNum>
  <w:abstractNum w:abstractNumId="46">
    <w:nsid w:val="3DB012B3"/>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35"/>
    </w:lvl>
  </w:abstractNum>
  <w:abstractNum w:abstractNumId="47">
    <w:nsid w:val="2708C9AF"/>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abstractNum>
  <w:abstractNum w:abstractNumId="48">
    <w:nsid w:val="5B25ACE2"/>
    <w:multiLevelType w:val="hybridMultilevel"/>
    <w:lvl w:ilvl="0">
      <w:lvlJc w:val="left"/>
      <w:lvlText w:val="%1."/>
      <w:numFmt w:val="upperLetter"/>
      <w:start w:val="2"/>
    </w:lvl>
  </w:abstractNum>
  <w:abstractNum w:abstractNumId="49">
    <w:nsid w:val="175DFCF0"/>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upperLetter"/>
      <w:start w:val="61"/>
    </w:lvl>
  </w:abstractNum>
  <w:abstractNum w:abstractNumId="50">
    <w:nsid w:val="4F97E3E4"/>
    <w:multiLevelType w:val="hybridMultilevel"/>
    <w:lvl w:ilvl="0">
      <w:lvlJc w:val="left"/>
      <w:lvlText w:val="%1."/>
      <w:numFmt w:val="upperLetter"/>
      <w:start w:val="1"/>
    </w:lvl>
    <w:lvl w:ilvl="1">
      <w:lvlJc w:val="left"/>
      <w:lvlText w:val="%2."/>
      <w:numFmt w:val="upperLetter"/>
      <w:start w:val="3"/>
    </w:lvl>
    <w:lvl w:ilvl="2">
      <w:lvlJc w:val="left"/>
      <w:lvlText w:val="%3"/>
      <w:numFmt w:val="lowerLetter"/>
      <w:start w:val="1"/>
    </w:lvl>
    <w:lvl w:ilvl="3">
      <w:lvlJc w:val="left"/>
      <w:lvlText w:val="%4"/>
      <w:numFmt w:val="upperLetter"/>
      <w:start w:val="1"/>
    </w:lvl>
  </w:abstractNum>
  <w:abstractNum w:abstractNumId="51">
    <w:nsid w:val="53B0A9E"/>
    <w:multiLevelType w:val="hybridMultilevel"/>
    <w:lvl w:ilvl="0">
      <w:lvlJc w:val="left"/>
      <w:lvlText w:val="%1."/>
      <w:numFmt w:val="lowerLetter"/>
      <w:start w:val="2"/>
    </w:lvl>
  </w:abstractNum>
  <w:abstractNum w:abstractNumId="52">
    <w:nsid w:val="34FD6B4F"/>
    <w:multiLevelType w:val="hybridMultilevel"/>
    <w:lvl w:ilvl="0">
      <w:lvlJc w:val="left"/>
      <w:lvlText w:val="%1."/>
      <w:numFmt w:val="lowerLetter"/>
      <w:start w:val="3"/>
    </w:lvl>
  </w:abstractNum>
  <w:abstractNum w:abstractNumId="53">
    <w:nsid w:val="5915FF32"/>
    <w:multiLevelType w:val="hybridMultilevel"/>
    <w:lvl w:ilvl="0">
      <w:lvlJc w:val="left"/>
      <w:lvlText w:val="%1."/>
      <w:numFmt w:val="upperLetter"/>
      <w:start w:val="8"/>
    </w:lvl>
  </w:abstractNum>
  <w:abstractNum w:abstractNumId="54">
    <w:nsid w:val="56438D15"/>
    <w:multiLevelType w:val="hybridMultilevel"/>
    <w:lvl w:ilvl="0">
      <w:lvlJc w:val="left"/>
      <w:lvlText w:val="%1."/>
      <w:numFmt w:val="lowerLetter"/>
      <w:start w:val="1"/>
    </w:lvl>
  </w:abstractNum>
  <w:abstractNum w:abstractNumId="55">
    <w:nsid w:val="519E3149"/>
    <w:multiLevelType w:val="hybridMultilevel"/>
    <w:lvl w:ilvl="0">
      <w:lvlJc w:val="left"/>
      <w:lvlText w:val="%1."/>
      <w:numFmt w:val="lowerLetter"/>
      <w:start w:val="2"/>
    </w:lvl>
  </w:abstractNum>
  <w:abstractNum w:abstractNumId="56">
    <w:nsid w:val="2C6E4AFD"/>
    <w:multiLevelType w:val="hybridMultilevel"/>
    <w:lvl w:ilvl="0">
      <w:lvlJc w:val="left"/>
      <w:lvlText w:val="%1."/>
      <w:numFmt w:val="lowerLetter"/>
      <w:start w:val="3"/>
    </w:lvl>
  </w:abstractNum>
  <w:abstractNum w:abstractNumId="57">
    <w:nsid w:val="17A1B582"/>
    <w:multiLevelType w:val="hybridMultilevel"/>
    <w:lvl w:ilvl="0">
      <w:lvlJc w:val="left"/>
      <w:lvlText w:val="%1."/>
      <w:numFmt w:val="upperLetter"/>
      <w:start w:val="12"/>
    </w:lvl>
  </w:abstractNum>
  <w:abstractNum w:abstractNumId="58">
    <w:nsid w:val="4DF72E4E"/>
    <w:multiLevelType w:val="hybridMultilevel"/>
    <w:lvl w:ilvl="0">
      <w:lvlJc w:val="left"/>
      <w:lvlText w:val="%1."/>
      <w:numFmt w:val="lowerLetter"/>
      <w:start w:val="1"/>
    </w:lvl>
  </w:abstractNum>
  <w:abstractNum w:abstractNumId="59">
    <w:nsid w:val="5046B5A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60">
    <w:nsid w:val="5D888A08"/>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1"/>
    </w:lvl>
  </w:abstractNum>
  <w:abstractNum w:abstractNumId="61">
    <w:nsid w:val="2A082C70"/>
    <w:multiLevelType w:val="hybridMultilevel"/>
    <w:lvl w:ilvl="0">
      <w:lvlJc w:val="left"/>
      <w:lvlText w:val="%1"/>
      <w:numFmt w:val="upperLetter"/>
      <w:start w:val="1"/>
    </w:lvl>
    <w:lvl w:ilvl="1">
      <w:lvlJc w:val="left"/>
      <w:lvlText w:val="%2."/>
      <w:numFmt w:val="decimal"/>
      <w:start w:val="4"/>
    </w:lvl>
  </w:abstractNum>
  <w:abstractNum w:abstractNumId="62">
    <w:nsid w:val="5EC6AFD4"/>
    <w:multiLevelType w:val="hybridMultilevel"/>
    <w:lvl w:ilvl="0">
      <w:lvlJc w:val="left"/>
      <w:lvlText w:val="%1."/>
      <w:numFmt w:val="upperLetter"/>
      <w:start w:val="15"/>
    </w:lvl>
    <w:lvl w:ilvl="1">
      <w:lvlJc w:val="left"/>
      <w:lvlText w:val="%2."/>
      <w:numFmt w:val="decimal"/>
      <w:start w:val="1"/>
    </w:lvl>
  </w:abstractNum>
  <w:abstractNum w:abstractNumId="63">
    <w:nsid w:val="19E21BB2"/>
    <w:multiLevelType w:val="hybridMultilevel"/>
    <w:lvl w:ilvl="0">
      <w:lvlJc w:val="left"/>
      <w:lvlText w:val="%1."/>
      <w:numFmt w:val="decimal"/>
      <w:start w:val="2"/>
    </w:lvl>
  </w:abstractNum>
  <w:abstractNum w:abstractNumId="64">
    <w:nsid w:val="75E0858A"/>
    <w:multiLevelType w:val="hybridMultilevel"/>
    <w:lvl w:ilvl="0">
      <w:lvlJc w:val="left"/>
      <w:lvlText w:val="%1."/>
      <w:numFmt w:val="upperLetter"/>
      <w:start w:val="1"/>
    </w:lvl>
    <w:lvl w:ilvl="1">
      <w:lvlJc w:val="left"/>
      <w:lvlText w:val="%2"/>
      <w:numFmt w:val="upperLetter"/>
      <w:start w:val="1"/>
    </w:lvl>
  </w:abstractNum>
  <w:abstractNum w:abstractNumId="65">
    <w:nsid w:val="57A61A29"/>
    <w:multiLevelType w:val="hybridMultilevel"/>
    <w:lvl w:ilvl="0">
      <w:lvlJc w:val="left"/>
      <w:lvlText w:val="%1."/>
      <w:numFmt w:val="upperLetter"/>
      <w:start w:val="1"/>
    </w:lvl>
  </w:abstractNum>
  <w:abstractNum w:abstractNumId="66">
    <w:nsid w:val="5399C654"/>
    <w:multiLevelType w:val="hybridMultilevel"/>
    <w:lvl w:ilvl="0">
      <w:lvlJc w:val="left"/>
      <w:lvlText w:val="%1."/>
      <w:numFmt w:val="upperLetter"/>
      <w:start w:val="1"/>
    </w:lvl>
  </w:abstractNum>
  <w:abstractNum w:abstractNumId="67">
    <w:nsid w:val="20EE1348"/>
    <w:multiLevelType w:val="hybridMultilevel"/>
    <w:lvl w:ilvl="0">
      <w:lvlJc w:val="left"/>
      <w:lvlText w:val="%1."/>
      <w:numFmt w:val="upperLetter"/>
      <w:start w:val="2"/>
    </w:lvl>
  </w:abstractNum>
  <w:abstractNum w:abstractNumId="68">
    <w:nsid w:val="4427069A"/>
    <w:multiLevelType w:val="hybridMultilevel"/>
    <w:lvl w:ilvl="0">
      <w:lvlJc w:val="left"/>
      <w:lvlText w:val="•"/>
      <w:numFmt w:val="bullet"/>
      <w:start w:val="1"/>
    </w:lvl>
  </w:abstractNum>
  <w:abstractNum w:abstractNumId="69">
    <w:nsid w:val="B37E80A"/>
    <w:multiLevelType w:val="hybridMultilevel"/>
    <w:lvl w:ilvl="0">
      <w:lvlJc w:val="left"/>
      <w:lvlText w:val="•"/>
      <w:numFmt w:val="bullet"/>
      <w:start w:val="1"/>
    </w:lvl>
  </w:abstractNum>
  <w:abstractNum w:abstractNumId="70">
    <w:nsid w:val="2157F6BC"/>
    <w:multiLevelType w:val="hybridMultilevel"/>
    <w:lvl w:ilvl="0">
      <w:lvlJc w:val="left"/>
      <w:lvlText w:val="•"/>
      <w:numFmt w:val="bullet"/>
      <w:start w:val="1"/>
    </w:lvl>
  </w:abstractNum>
  <w:abstractNum w:abstractNumId="71">
    <w:nsid w:val="704E1DD5"/>
    <w:multiLevelType w:val="hybridMultilevel"/>
    <w:lvl w:ilvl="0">
      <w:lvlJc w:val="left"/>
      <w:lvlText w:val="1"/>
      <w:numFmt w:val="bullet"/>
      <w:start w:val="1"/>
    </w:lvl>
  </w:abstractNum>
  <w:abstractNum w:abstractNumId="72">
    <w:nsid w:val="57D2F10E"/>
    <w:multiLevelType w:val="hybridMultilevel"/>
    <w:lvl w:ilvl="0">
      <w:lvlJc w:val="left"/>
      <w:lvlText w:val="2"/>
      <w:numFmt w:val="bullet"/>
      <w:start w:val="1"/>
    </w:lvl>
  </w:abstractNum>
  <w:abstractNum w:abstractNumId="73">
    <w:nsid w:val="BFFAE18"/>
    <w:multiLevelType w:val="hybridMultilevel"/>
    <w:lvl w:ilvl="0">
      <w:lvlJc w:val="left"/>
      <w:lvlText w:val="3"/>
      <w:numFmt w:val="bullet"/>
      <w:start w:val="1"/>
    </w:lvl>
  </w:abstractNum>
  <w:abstractNum w:abstractNumId="74">
    <w:nsid w:val="E3E47A8"/>
    <w:multiLevelType w:val="hybridMultilevel"/>
    <w:lvl w:ilvl="0">
      <w:lvlJc w:val="left"/>
      <w:lvlText w:val="4"/>
      <w:numFmt w:val="bullet"/>
      <w:start w:val="1"/>
    </w:lvl>
  </w:abstractNum>
  <w:abstractNum w:abstractNumId="75">
    <w:nsid w:val="2E48F044"/>
    <w:multiLevelType w:val="hybridMultilevel"/>
    <w:lvl w:ilvl="0">
      <w:lvlJc w:val="left"/>
      <w:lvlText w:val="5"/>
      <w:numFmt w:val="bullet"/>
      <w:start w:val="1"/>
    </w:lvl>
  </w:abstractNum>
  <w:abstractNum w:abstractNumId="76">
    <w:nsid w:val="49D0FEAC"/>
    <w:multiLevelType w:val="hybridMultilevel"/>
    <w:lvl w:ilvl="0">
      <w:lvlJc w:val="left"/>
      <w:lvlText w:val="6"/>
      <w:numFmt w:val="bullet"/>
      <w:start w:val="1"/>
    </w:lvl>
  </w:abstractNum>
  <w:abstractNum w:abstractNumId="77">
    <w:nsid w:val="4BEE5A5B"/>
    <w:multiLevelType w:val="hybridMultilevel"/>
    <w:lvl w:ilvl="0">
      <w:lvlJc w:val="left"/>
      <w:lvlText w:val="7"/>
      <w:numFmt w:val="bullet"/>
      <w:start w:val="1"/>
    </w:lvl>
  </w:abstractNum>
  <w:abstractNum w:abstractNumId="78">
    <w:nsid w:val="5551B9F3"/>
    <w:multiLevelType w:val="hybridMultilevel"/>
    <w:lvl w:ilvl="0">
      <w:lvlJc w:val="left"/>
      <w:lvlText w:val="%1."/>
      <w:numFmt w:val="decimal"/>
      <w:start w:val="1"/>
    </w:lvl>
  </w:abstractNum>
  <w:abstractNum w:abstractNumId="79">
    <w:nsid w:val="24F6AB8E"/>
    <w:multiLevelType w:val="hybridMultilevel"/>
    <w:lvl w:ilvl="0">
      <w:lvlJc w:val="left"/>
      <w:lvlText w:val="(%1)"/>
      <w:numFmt w:val="lowerRoman"/>
      <w:start w:val="1"/>
    </w:lvl>
  </w:abstractNum>
  <w:abstractNum w:abstractNumId="80">
    <w:nsid w:val="634C574C"/>
    <w:multiLevelType w:val="hybridMultilevel"/>
    <w:lvl w:ilvl="0">
      <w:lvlJc w:val="left"/>
      <w:lvlText w:val="(%1)"/>
      <w:numFmt w:val="lowerRoman"/>
      <w:start w:val="2"/>
    </w:lvl>
  </w:abstractNum>
  <w:abstractNum w:abstractNumId="81">
    <w:nsid w:val="24E99DD7"/>
    <w:multiLevelType w:val="hybridMultilevel"/>
    <w:lvl w:ilvl="0">
      <w:lvlJc w:val="left"/>
      <w:lvlText w:val="(%1)"/>
      <w:numFmt w:val="lowerRoman"/>
      <w:start w:val="8"/>
    </w:lvl>
  </w:abstractNum>
  <w:abstractNum w:abstractNumId="82">
    <w:nsid w:val="2A31B62D"/>
    <w:multiLevelType w:val="hybridMultilevel"/>
    <w:lvl w:ilvl="0">
      <w:lvlJc w:val="left"/>
      <w:lvlText w:val="(%1)"/>
      <w:numFmt w:val="lowerRoman"/>
      <w:start w:val="1"/>
    </w:lvl>
    <w:lvl w:ilvl="1">
      <w:lvlJc w:val="left"/>
      <w:lvlText w:val="***"/>
      <w:numFmt w:val="bullet"/>
      <w:start w:val="1"/>
    </w:lvl>
  </w:abstractNum>
  <w:abstractNum w:abstractNumId="83">
    <w:nsid w:val="1849C29B"/>
    <w:multiLevelType w:val="hybridMultilevel"/>
    <w:lvl w:ilvl="0">
      <w:lvlJc w:val="left"/>
      <w:lvlText w:val="%1."/>
      <w:numFmt w:val="decimal"/>
      <w:start w:val="2"/>
    </w:lvl>
  </w:abstractNum>
  <w:abstractNum w:abstractNumId="84">
    <w:nsid w:val="7DFF9D09"/>
    <w:multiLevelType w:val="hybridMultilevel"/>
    <w:lvl w:ilvl="0">
      <w:lvlJc w:val="left"/>
      <w:lvlText w:val="(%1)"/>
      <w:numFmt w:val="lowerRoman"/>
      <w:start w:val="1"/>
    </w:lvl>
  </w:abstractNum>
  <w:abstractNum w:abstractNumId="85">
    <w:nsid w:val="754342"/>
    <w:multiLevelType w:val="hybridMultilevel"/>
    <w:lvl w:ilvl="0">
      <w:lvlJc w:val="left"/>
      <w:lvlText w:val="(%1)"/>
      <w:numFmt w:val="lowerRoman"/>
      <w:start w:val="3"/>
    </w:lvl>
    <w:lvl w:ilvl="1">
      <w:lvlJc w:val="left"/>
      <w:lvlText w:val="%2)"/>
      <w:numFmt w:val="lowerLetter"/>
      <w:start w:val="1"/>
    </w:lvl>
  </w:abstractNum>
  <w:abstractNum w:abstractNumId="86">
    <w:nsid w:val="69E7F3E5"/>
    <w:multiLevelType w:val="hybridMultilevel"/>
    <w:lvl w:ilvl="0">
      <w:lvlJc w:val="left"/>
      <w:lvlText w:val="(%1)"/>
      <w:numFmt w:val="lowerRoman"/>
      <w:start w:val="1"/>
    </w:lvl>
    <w:lvl w:ilvl="1">
      <w:lvlJc w:val="left"/>
      <w:lvlText w:val="%2)"/>
      <w:numFmt w:val="lowerLetter"/>
      <w:start w:val="1"/>
    </w:lvl>
  </w:abstractNum>
  <w:abstractNum w:abstractNumId="87">
    <w:nsid w:val="2A6DE806"/>
    <w:multiLevelType w:val="hybridMultilevel"/>
    <w:lvl w:ilvl="0">
      <w:lvlJc w:val="left"/>
      <w:lvlText w:val="%1."/>
      <w:numFmt w:val="decimal"/>
      <w:start w:val="1"/>
    </w:lvl>
  </w:abstractNum>
  <w:abstractNum w:abstractNumId="88">
    <w:nsid w:val="1816F8C4"/>
    <w:multiLevelType w:val="hybridMultilevel"/>
    <w:lvl w:ilvl="0">
      <w:lvlJc w:val="left"/>
      <w:lvlText w:val="%1."/>
      <w:numFmt w:val="decimal"/>
      <w:start w:val="2"/>
    </w:lvl>
  </w:abstractNum>
  <w:abstractNum w:abstractNumId="89">
    <w:nsid w:val="37DF2233"/>
    <w:multiLevelType w:val="hybridMultilevel"/>
    <w:lvl w:ilvl="0">
      <w:lvlJc w:val="left"/>
      <w:lvlText w:val="%1."/>
      <w:numFmt w:val="decimal"/>
      <w:start w:val="3"/>
    </w:lvl>
  </w:abstractNum>
  <w:abstractNum w:abstractNumId="90">
    <w:nsid w:val="7AB49DAF"/>
    <w:multiLevelType w:val="hybridMultilevel"/>
    <w:lvl w:ilvl="0">
      <w:lvlJc w:val="left"/>
      <w:lvlText w:val="%1."/>
      <w:numFmt w:val="decimal"/>
      <w:start w:val="4"/>
    </w:lvl>
  </w:abstractNum>
  <w:abstractNum w:abstractNumId="91">
    <w:nsid w:val="759F82CD"/>
    <w:multiLevelType w:val="hybridMultilevel"/>
    <w:lvl w:ilvl="0">
      <w:lvlJc w:val="left"/>
      <w:lvlText w:val="%1)"/>
      <w:numFmt w:val="lowerLetter"/>
      <w:start w:val="1"/>
    </w:lvl>
  </w:abstractNum>
  <w:abstractNum w:abstractNumId="92">
    <w:nsid w:val="61E74EA3"/>
    <w:multiLevelType w:val="hybridMultilevel"/>
    <w:lvl w:ilvl="0">
      <w:lvlJc w:val="left"/>
      <w:lvlText w:val="%1."/>
      <w:numFmt w:val="decimal"/>
      <w:start w:val="5"/>
    </w:lvl>
  </w:abstractNum>
  <w:abstractNum w:abstractNumId="93">
    <w:nsid w:val="597B4D84"/>
    <w:multiLevelType w:val="hybridMultilevel"/>
    <w:lvl w:ilvl="0">
      <w:lvlJc w:val="left"/>
      <w:lvlText w:val="***"/>
      <w:numFmt w:val="bullet"/>
      <w:start w:val="1"/>
    </w:lvl>
  </w:abstractNum>
  <w:abstractNum w:abstractNumId="94">
    <w:nsid w:val="F819E7F"/>
    <w:multiLevelType w:val="hybridMultilevel"/>
    <w:lvl w:ilvl="0">
      <w:lvlJc w:val="left"/>
      <w:lvlText w:val="***"/>
      <w:numFmt w:val="bullet"/>
      <w:start w:val="1"/>
    </w:lvl>
  </w:abstractNum>
  <w:abstractNum w:abstractNumId="95">
    <w:nsid w:val="57C7D42D"/>
    <w:multiLevelType w:val="hybridMultilevel"/>
    <w:lvl w:ilvl="0">
      <w:lvlJc w:val="left"/>
      <w:lvlText w:val="1"/>
      <w:numFmt w:val="bullet"/>
      <w:start w:val="1"/>
    </w:lvl>
  </w:abstractNum>
  <w:abstractNum w:abstractNumId="96">
    <w:nsid w:val="312167AD"/>
    <w:multiLevelType w:val="hybridMultilevel"/>
    <w:lvl w:ilvl="0">
      <w:lvlJc w:val="left"/>
      <w:lvlText w:val="##"/>
      <w:numFmt w:val="bullet"/>
      <w:start w:val="1"/>
    </w:lvl>
  </w:abstractNum>
  <w:abstractNum w:abstractNumId="97">
    <w:nsid w:val="631B64D4"/>
    <w:multiLevelType w:val="hybridMultilevel"/>
    <w:lvl w:ilvl="0">
      <w:lvlJc w:val="left"/>
      <w:lvlText w:val="*"/>
      <w:numFmt w:val="bullet"/>
      <w:start w:val="1"/>
    </w:lvl>
  </w:abstractNum>
  <w:abstractNum w:abstractNumId="98">
    <w:nsid w:val="78B5E776"/>
    <w:multiLevelType w:val="hybridMultilevel"/>
    <w:lvl w:ilvl="0">
      <w:lvlJc w:val="left"/>
      <w:lvlText w:val="1"/>
      <w:numFmt w:val="bullet"/>
      <w:start w:val="1"/>
    </w:lvl>
  </w:abstractNum>
  <w:abstractNum w:abstractNumId="99">
    <w:nsid w:val="75486E47"/>
    <w:multiLevelType w:val="hybridMultilevel"/>
    <w:lvl w:ilvl="0">
      <w:lvlJc w:val="left"/>
      <w:lvlText w:val="##"/>
      <w:numFmt w:val="bullet"/>
      <w:start w:val="1"/>
    </w:lvl>
  </w:abstractNum>
  <w:abstractNum w:abstractNumId="100">
    <w:nsid w:val="6E534CDE"/>
    <w:multiLevelType w:val="hybridMultilevel"/>
    <w:lvl w:ilvl="0">
      <w:lvlJc w:val="left"/>
      <w:lvlText w:val="*"/>
      <w:numFmt w:val="bullet"/>
      <w:start w:val="1"/>
    </w:lvl>
  </w:abstractNum>
  <w:abstractNum w:abstractNumId="101">
    <w:nsid w:val="1A0DDE32"/>
    <w:multiLevelType w:val="hybridMultilevel"/>
    <w:lvl w:ilvl="0">
      <w:lvlJc w:val="left"/>
      <w:lvlText w:val="1"/>
      <w:numFmt w:val="bullet"/>
      <w:start w:val="1"/>
    </w:lvl>
  </w:abstractNum>
  <w:abstractNum w:abstractNumId="102">
    <w:nsid w:val="65968C1C"/>
    <w:multiLevelType w:val="hybridMultilevel"/>
    <w:lvl w:ilvl="0">
      <w:lvlJc w:val="left"/>
      <w:lvlText w:val="3"/>
      <w:numFmt w:val="bullet"/>
      <w:start w:val="1"/>
    </w:lvl>
  </w:abstractNum>
  <w:abstractNum w:abstractNumId="103">
    <w:nsid w:val="46263DEC"/>
    <w:multiLevelType w:val="hybridMultilevel"/>
    <w:lvl w:ilvl="0">
      <w:lvlJc w:val="left"/>
      <w:lvlText w:val="*"/>
      <w:numFmt w:val="bullet"/>
      <w:start w:val="1"/>
    </w:lvl>
    <w:lvl w:ilvl="1">
      <w:lvlJc w:val="left"/>
      <w:lvlText w:val="-"/>
      <w:numFmt w:val="bullet"/>
      <w:start w:val="1"/>
    </w:lvl>
  </w:abstractNum>
  <w:abstractNum w:abstractNumId="104">
    <w:nsid w:val="260D8C4A"/>
    <w:multiLevelType w:val="hybridMultilevel"/>
    <w:lvl w:ilvl="0">
      <w:lvlJc w:val="left"/>
      <w:lvlText w:val="***"/>
      <w:numFmt w:val="bullet"/>
      <w:start w:val="1"/>
    </w:lvl>
  </w:abstractNum>
  <w:abstractNum w:abstractNumId="105">
    <w:nsid w:val="73D4D3C4"/>
    <w:multiLevelType w:val="hybridMultilevel"/>
    <w:lvl w:ilvl="0">
      <w:lvlJc w:val="left"/>
      <w:lvlText w:val="*"/>
      <w:numFmt w:val="bullet"/>
      <w:start w:val="1"/>
    </w:lvl>
  </w:abstractNum>
  <w:abstractNum w:abstractNumId="106">
    <w:nsid w:val="746F2E30"/>
    <w:multiLevelType w:val="hybridMultilevel"/>
    <w:lvl w:ilvl="0">
      <w:lvlJc w:val="left"/>
      <w:lvlText w:val="%1."/>
      <w:numFmt w:val="decimal"/>
      <w:start w:val="1"/>
    </w:lvl>
  </w:abstractNum>
  <w:abstractNum w:abstractNumId="107">
    <w:nsid w:val="6FDE8AF6"/>
    <w:multiLevelType w:val="hybridMultilevel"/>
    <w:lvl w:ilvl="0">
      <w:lvlJc w:val="left"/>
      <w:lvlText w:val="%1."/>
      <w:numFmt w:val="decimal"/>
      <w:start w:val="2"/>
    </w:lvl>
  </w:abstractNum>
  <w:abstractNum w:abstractNumId="108">
    <w:nsid w:val="3FC32E20"/>
    <w:multiLevelType w:val="hybridMultilevel"/>
    <w:lvl w:ilvl="0">
      <w:lvlJc w:val="left"/>
      <w:lvlText w:val="%1."/>
      <w:numFmt w:val="decimal"/>
      <w:start w:val="3"/>
    </w:lvl>
  </w:abstractNum>
  <w:abstractNum w:abstractNumId="109">
    <w:nsid w:val="49C0E823"/>
    <w:multiLevelType w:val="hybridMultilevel"/>
    <w:lvl w:ilvl="0">
      <w:lvlJc w:val="left"/>
      <w:lvlText w:val="%1."/>
      <w:numFmt w:val="decimal"/>
      <w:start w:val="1"/>
    </w:lvl>
  </w:abstractNum>
  <w:abstractNum w:abstractNumId="110">
    <w:nsid w:val="14D53685"/>
    <w:multiLevelType w:val="hybridMultilevel"/>
    <w:lvl w:ilvl="0">
      <w:lvlJc w:val="left"/>
      <w:lvlText w:val="%1."/>
      <w:numFmt w:val="decimal"/>
      <w:start w:val="2"/>
    </w:lvl>
  </w:abstractNum>
  <w:abstractNum w:abstractNumId="111">
    <w:nsid w:val="230F856C"/>
    <w:multiLevelType w:val="hybridMultilevel"/>
    <w:lvl w:ilvl="0">
      <w:lvlJc w:val="left"/>
      <w:lvlText w:val="%1."/>
      <w:numFmt w:val="decimal"/>
      <w:start w:val="5"/>
    </w:lvl>
  </w:abstractNum>
  <w:abstractNum w:abstractNumId="112">
    <w:nsid w:val="6EAA85FB"/>
    <w:multiLevelType w:val="hybridMultilevel"/>
    <w:lvl w:ilvl="0">
      <w:lvlJc w:val="left"/>
      <w:lvlText w:val="%1."/>
      <w:numFmt w:val="decimal"/>
      <w:start w:val="6"/>
    </w:lvl>
  </w:abstractNum>
  <w:abstractNum w:abstractNumId="113">
    <w:nsid w:val="3F06ECB2"/>
    <w:multiLevelType w:val="hybridMultilevel"/>
    <w:lvl w:ilvl="0">
      <w:lvlJc w:val="left"/>
      <w:lvlText w:val="%1."/>
      <w:numFmt w:val="decimal"/>
      <w:start w:val="1"/>
    </w:lvl>
    <w:lvl w:ilvl="1">
      <w:lvlJc w:val="left"/>
      <w:lvlText w:val="***"/>
      <w:numFmt w:val="bullet"/>
      <w:start w:val="1"/>
    </w:lvl>
  </w:abstractNum>
  <w:abstractNum w:abstractNumId="114">
    <w:nsid w:val="3B594807"/>
    <w:multiLevelType w:val="hybridMultilevel"/>
    <w:lvl w:ilvl="0">
      <w:lvlJc w:val="left"/>
      <w:lvlText w:val="%1."/>
      <w:numFmt w:val="decimal"/>
      <w:start w:val="2"/>
    </w:lvl>
  </w:abstractNum>
  <w:abstractNum w:abstractNumId="115">
    <w:nsid w:val="6CAA2304"/>
    <w:multiLevelType w:val="hybridMultilevel"/>
    <w:lvl w:ilvl="0">
      <w:lvlJc w:val="left"/>
      <w:lvlText w:val="%1."/>
      <w:numFmt w:val="decimal"/>
      <w:start w:val="3"/>
    </w:lvl>
  </w:abstractNum>
  <w:abstractNum w:abstractNumId="116">
    <w:nsid w:val="3F7C2FF4"/>
    <w:multiLevelType w:val="hybridMultilevel"/>
    <w:lvl w:ilvl="0">
      <w:lvlJc w:val="left"/>
      <w:lvlText w:val="%1."/>
      <w:numFmt w:val="decimal"/>
      <w:start w:val="4"/>
    </w:lvl>
  </w:abstractNum>
  <w:abstractNum w:abstractNumId="117">
    <w:nsid w:val="25413BEC"/>
    <w:multiLevelType w:val="hybridMultilevel"/>
    <w:lvl w:ilvl="0">
      <w:lvlJc w:val="left"/>
      <w:lvlText w:val="%1."/>
      <w:numFmt w:val="decimal"/>
      <w:start w:val="5"/>
    </w:lvl>
  </w:abstractNum>
  <w:abstractNum w:abstractNumId="118">
    <w:nsid w:val="17180B0B"/>
    <w:multiLevelType w:val="hybridMultilevel"/>
    <w:lvl w:ilvl="0">
      <w:lvlJc w:val="left"/>
      <w:lvlText w:val="%1."/>
      <w:numFmt w:val="decimal"/>
      <w:start w:val="7"/>
    </w:lvl>
  </w:abstractNum>
  <w:abstractNum w:abstractNumId="119">
    <w:nsid w:val="579328B9"/>
    <w:multiLevelType w:val="hybridMultilevel"/>
    <w:lvl w:ilvl="0">
      <w:lvlJc w:val="left"/>
      <w:lvlText w:val="%1."/>
      <w:numFmt w:val="decimal"/>
      <w:start w:val="8"/>
    </w:lvl>
  </w:abstractNum>
  <w:abstractNum w:abstractNumId="120">
    <w:nsid w:val="5D205E20"/>
    <w:multiLevelType w:val="hybridMultilevel"/>
    <w:lvl w:ilvl="0">
      <w:lvlJc w:val="left"/>
      <w:lvlText w:val="%1."/>
      <w:numFmt w:val="decimal"/>
      <w:start w:val="9"/>
    </w:lvl>
  </w:abstractNum>
  <w:abstractNum w:abstractNumId="121">
    <w:nsid w:val="11CCA8BA"/>
    <w:multiLevelType w:val="hybridMultilevel"/>
    <w:lvl w:ilvl="0">
      <w:lvlJc w:val="left"/>
      <w:lvlText w:val="***"/>
      <w:numFmt w:val="bullet"/>
      <w:start w:val="1"/>
    </w:lvl>
  </w:abstractNum>
  <w:abstractNum w:abstractNumId="122">
    <w:nsid w:val="4D32AB86"/>
    <w:multiLevelType w:val="hybridMultilevel"/>
    <w:lvl w:ilvl="0">
      <w:lvlJc w:val="left"/>
      <w:lvlText w:val="%1)"/>
      <w:numFmt w:val="decimal"/>
      <w:start w:val="2"/>
    </w:lvl>
  </w:abstractNum>
  <w:abstractNum w:abstractNumId="123">
    <w:nsid w:val="3F07ACC3"/>
    <w:multiLevelType w:val="hybridMultilevel"/>
    <w:lvl w:ilvl="0">
      <w:lvlJc w:val="left"/>
      <w:lvlText w:val="%1."/>
      <w:numFmt w:val="decimal"/>
      <w:start w:val="1"/>
    </w:lvl>
  </w:abstractNum>
  <w:abstractNum w:abstractNumId="124">
    <w:nsid w:val="6B47F63E"/>
    <w:multiLevelType w:val="hybridMultilevel"/>
    <w:lvl w:ilvl="0">
      <w:lvlJc w:val="left"/>
      <w:lvlText w:val="%1."/>
      <w:numFmt w:val="decimal"/>
      <w:start w:val="3"/>
    </w:lvl>
  </w:abstractNum>
  <w:abstractNum w:abstractNumId="125">
    <w:nsid w:val="5CB44A05"/>
    <w:multiLevelType w:val="hybridMultilevel"/>
    <w:lvl w:ilvl="0">
      <w:lvlJc w:val="left"/>
      <w:lvlText w:val="%1."/>
      <w:numFmt w:val="decimal"/>
      <w:start w:val="4"/>
    </w:lvl>
  </w:abstractNum>
  <w:abstractNum w:abstractNumId="126">
    <w:nsid w:val="16CF80F1"/>
    <w:multiLevelType w:val="hybridMultilevel"/>
    <w:lvl w:ilvl="0">
      <w:lvlJc w:val="left"/>
      <w:lvlText w:val="%1."/>
      <w:numFmt w:val="decimal"/>
      <w:start w:val="6"/>
    </w:lvl>
  </w:abstractNum>
  <w:abstractNum w:abstractNumId="127">
    <w:nsid w:val="1C695DEC"/>
    <w:multiLevelType w:val="hybridMultilevel"/>
    <w:lvl w:ilvl="0">
      <w:lvlJc w:val="left"/>
      <w:lvlText w:val="%1."/>
      <w:numFmt w:val="decimal"/>
      <w:start w:val="8"/>
    </w:lvl>
  </w:abstractNum>
  <w:abstractNum w:abstractNumId="128">
    <w:nsid w:val="3FCFAED9"/>
    <w:multiLevelType w:val="hybridMultilevel"/>
    <w:lvl w:ilvl="0">
      <w:lvlJc w:val="left"/>
      <w:lvlText w:val="%1."/>
      <w:numFmt w:val="decimal"/>
      <w:start w:val="9"/>
    </w:lvl>
  </w:abstractNum>
  <w:abstractNum w:abstractNumId="129">
    <w:nsid w:val="F856867"/>
    <w:multiLevelType w:val="hybridMultilevel"/>
    <w:lvl w:ilvl="0">
      <w:lvlJc w:val="left"/>
      <w:lvlText w:val="%1."/>
      <w:numFmt w:val="decimal"/>
      <w:start w:val="1"/>
    </w:lvl>
  </w:abstractNum>
  <w:abstractNum w:abstractNumId="130">
    <w:nsid w:val="11B1CC33"/>
    <w:multiLevelType w:val="hybridMultilevel"/>
    <w:lvl w:ilvl="0">
      <w:lvlJc w:val="left"/>
      <w:lvlText w:val="(%1)"/>
      <w:numFmt w:val="lowerRoman"/>
      <w:start w:val="1"/>
    </w:lvl>
  </w:abstractNum>
  <w:abstractNum w:abstractNumId="131">
    <w:nsid w:val="2E22FBB7"/>
    <w:multiLevelType w:val="hybridMultilevel"/>
    <w:lvl w:ilvl="0">
      <w:lvlJc w:val="left"/>
      <w:lvlText w:val="%1."/>
      <w:numFmt w:val="decimal"/>
      <w:start w:val="2"/>
    </w:lvl>
  </w:abstractNum>
  <w:abstractNum w:abstractNumId="132">
    <w:nsid w:val="29934699"/>
    <w:multiLevelType w:val="hybridMultilevel"/>
    <w:lvl w:ilvl="0">
      <w:lvlJc w:val="left"/>
      <w:lvlText w:val="***"/>
      <w:numFmt w:val="bullet"/>
      <w:start w:val="1"/>
    </w:lvl>
  </w:abstractNum>
  <w:abstractNum w:abstractNumId="133">
    <w:nsid w:val="77485850"/>
    <w:multiLevelType w:val="hybridMultilevel"/>
    <w:lvl w:ilvl="0">
      <w:lvlJc w:val="left"/>
      <w:lvlText w:val="%1."/>
      <w:numFmt w:val="decimal"/>
      <w:start w:val="3"/>
    </w:lvl>
  </w:abstractNum>
  <w:abstractNum w:abstractNumId="134">
    <w:nsid w:val="744939A3"/>
    <w:multiLevelType w:val="hybridMultilevel"/>
    <w:lvl w:ilvl="0">
      <w:lvlJc w:val="left"/>
      <w:lvlText w:val="%1."/>
      <w:numFmt w:val="decimal"/>
      <w:start w:val="4"/>
    </w:lvl>
  </w:abstractNum>
  <w:abstractNum w:abstractNumId="135">
    <w:nsid w:val="4FA0D2E3"/>
    <w:multiLevelType w:val="hybridMultilevel"/>
    <w:lvl w:ilvl="0">
      <w:lvlJc w:val="left"/>
      <w:lvlText w:val="(%1)"/>
      <w:numFmt w:val="lowerRoman"/>
      <w:start w:val="1"/>
    </w:lvl>
  </w:abstractNum>
  <w:abstractNum w:abstractNumId="136">
    <w:nsid w:val="6B1D2C14"/>
    <w:multiLevelType w:val="hybridMultilevel"/>
    <w:lvl w:ilvl="0">
      <w:lvlJc w:val="left"/>
      <w:lvlText w:val="%1."/>
      <w:numFmt w:val="decimal"/>
      <w:start w:val="4"/>
    </w:lvl>
    <w:lvl w:ilvl="1">
      <w:lvlJc w:val="left"/>
      <w:lvlText w:val="***"/>
      <w:numFmt w:val="bullet"/>
      <w:start w:val="1"/>
    </w:lvl>
  </w:abstractNum>
  <w:abstractNum w:abstractNumId="137">
    <w:nsid w:val="68B867D3"/>
    <w:multiLevelType w:val="hybridMultilevel"/>
    <w:lvl w:ilvl="0">
      <w:lvlJc w:val="left"/>
      <w:lvlText w:val="%1."/>
      <w:numFmt w:val="decimal"/>
      <w:start w:val="6"/>
    </w:lvl>
  </w:abstractNum>
  <w:abstractNum w:abstractNumId="138">
    <w:nsid w:val="3F7F5DD9"/>
    <w:multiLevelType w:val="hybridMultilevel"/>
    <w:lvl w:ilvl="0">
      <w:lvlJc w:val="left"/>
      <w:lvlText w:val="%1."/>
      <w:numFmt w:val="decimal"/>
      <w:start w:val="7"/>
    </w:lvl>
  </w:abstractNum>
  <w:abstractNum w:abstractNumId="139">
    <w:nsid w:val="2AE05A34"/>
    <w:multiLevelType w:val="hybridMultilevel"/>
    <w:lvl w:ilvl="0">
      <w:lvlJc w:val="left"/>
      <w:lvlText w:val="1"/>
      <w:numFmt w:val="bullet"/>
      <w:start w:val="1"/>
    </w:lvl>
  </w:abstractNum>
  <w:abstractNum w:abstractNumId="140">
    <w:nsid w:val="32794FF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1">
    <w:nsid w:val="5454945E"/>
    <w:multiLevelType w:val="hybridMultilevel"/>
    <w:lvl w:ilvl="0">
      <w:lvlJc w:val="left"/>
      <w:lvlText w:val="%1."/>
      <w:numFmt w:val="decimal"/>
      <w:start w:val="1"/>
    </w:lvl>
  </w:abstractNum>
  <w:abstractNum w:abstractNumId="142">
    <w:nsid w:val="4DEFDFA0"/>
    <w:multiLevelType w:val="hybridMultilevel"/>
    <w:lvl w:ilvl="0">
      <w:lvlJc w:val="left"/>
      <w:lvlText w:val="%1."/>
      <w:numFmt w:val="decimal"/>
      <w:start w:val="2"/>
    </w:lvl>
  </w:abstractNum>
  <w:abstractNum w:abstractNumId="143">
    <w:nsid w:val="2123D5F2"/>
    <w:multiLevelType w:val="hybridMultilevel"/>
    <w:lvl w:ilvl="0">
      <w:lvlJc w:val="left"/>
      <w:lvlText w:val="%1."/>
      <w:numFmt w:val="decimal"/>
      <w:start w:val="3"/>
    </w:lvl>
  </w:abstractNum>
  <w:abstractNum w:abstractNumId="144">
    <w:nsid w:val="135B8110"/>
    <w:multiLevelType w:val="hybridMultilevel"/>
    <w:lvl w:ilvl="0">
      <w:lvlJc w:val="left"/>
      <w:lvlText w:val="%1."/>
      <w:numFmt w:val="decimal"/>
      <w:start w:val="4"/>
    </w:lvl>
  </w:abstractNum>
  <w:abstractNum w:abstractNumId="145">
    <w:nsid w:val="94927A8"/>
    <w:multiLevelType w:val="hybridMultilevel"/>
    <w:lvl w:ilvl="0">
      <w:lvlJc w:val="left"/>
      <w:lvlText w:val="%1."/>
      <w:numFmt w:val="decimal"/>
      <w:start w:val="1"/>
    </w:lvl>
  </w:abstractNum>
  <w:abstractNum w:abstractNumId="146">
    <w:nsid w:val="DCDF8F6"/>
    <w:multiLevelType w:val="hybridMultilevel"/>
    <w:lvl w:ilvl="0">
      <w:lvlJc w:val="left"/>
      <w:lvlText w:val="%1."/>
      <w:numFmt w:val="decimal"/>
      <w:start w:val="2"/>
    </w:lvl>
  </w:abstractNum>
  <w:abstractNum w:abstractNumId="147">
    <w:nsid w:val="52D7B105"/>
    <w:multiLevelType w:val="hybridMultilevel"/>
    <w:lvl w:ilvl="0">
      <w:lvlJc w:val="left"/>
      <w:lvlText w:val="%1."/>
      <w:numFmt w:val="decimal"/>
      <w:start w:val="4"/>
    </w:lvl>
  </w:abstractNum>
  <w:abstractNum w:abstractNumId="148">
    <w:nsid w:val="2E8A6394"/>
    <w:multiLevelType w:val="hybridMultilevel"/>
    <w:lvl w:ilvl="0">
      <w:lvlJc w:val="left"/>
      <w:lvlText w:val="%1."/>
      <w:numFmt w:val="decimal"/>
      <w:start w:val="5"/>
    </w:lvl>
  </w:abstractNum>
  <w:abstractNum w:abstractNumId="149">
    <w:nsid w:val="24E60401"/>
    <w:multiLevelType w:val="hybridMultilevel"/>
    <w:lvl w:ilvl="0">
      <w:lvlJc w:val="left"/>
      <w:lvlText w:val="%1."/>
      <w:numFmt w:val="decimal"/>
      <w:start w:val="1"/>
    </w:lvl>
  </w:abstractNum>
  <w:abstractNum w:abstractNumId="150">
    <w:nsid w:val="2A6AD9BE"/>
    <w:multiLevelType w:val="hybridMultilevel"/>
    <w:lvl w:ilvl="0">
      <w:lvlJc w:val="left"/>
      <w:lvlText w:val="%1."/>
      <w:numFmt w:val="decimal"/>
      <w:start w:val="3"/>
    </w:lvl>
  </w:abstractNum>
  <w:abstractNum w:abstractNumId="151">
    <w:nsid w:val="BAAC1B4"/>
    <w:multiLevelType w:val="hybridMultilevel"/>
    <w:lvl w:ilvl="0">
      <w:lvlJc w:val="left"/>
      <w:lvlText w:val="%1."/>
      <w:numFmt w:val="decimal"/>
      <w:start w:val="4"/>
    </w:lvl>
  </w:abstractNum>
  <w:abstractNum w:abstractNumId="152">
    <w:nsid w:val="36B2ACBC"/>
    <w:multiLevelType w:val="hybridMultilevel"/>
    <w:lvl w:ilvl="0">
      <w:lvlJc w:val="left"/>
      <w:lvlText w:val="***"/>
      <w:numFmt w:val="bullet"/>
      <w:start w:val="1"/>
    </w:lvl>
  </w:abstractNum>
  <w:abstractNum w:abstractNumId="153">
    <w:nsid w:val="779D8544"/>
    <w:multiLevelType w:val="hybridMultilevel"/>
    <w:lvl w:ilvl="0">
      <w:lvlJc w:val="left"/>
      <w:lvlText w:val="%1."/>
      <w:numFmt w:val="decimal"/>
      <w:start w:val="5"/>
    </w:lvl>
  </w:abstractNum>
  <w:abstractNum w:abstractNumId="154">
    <w:nsid w:val="4AB26E78"/>
    <w:multiLevelType w:val="hybridMultilevel"/>
    <w:lvl w:ilvl="0">
      <w:lvlJc w:val="left"/>
      <w:lvlText w:val="%1."/>
      <w:numFmt w:val="decimal"/>
      <w:start w:val="6"/>
    </w:lvl>
  </w:abstractNum>
  <w:abstractNum w:abstractNumId="155">
    <w:nsid w:val="21FAA2FA"/>
    <w:multiLevelType w:val="hybridMultilevel"/>
    <w:lvl w:ilvl="0">
      <w:lvlJc w:val="left"/>
      <w:lvlText w:val="%1."/>
      <w:numFmt w:val="decimal"/>
      <w:start w:val="7"/>
    </w:lvl>
  </w:abstractNum>
  <w:abstractNum w:abstractNumId="156">
    <w:nsid w:val="5451CF49"/>
    <w:multiLevelType w:val="hybridMultilevel"/>
    <w:lvl w:ilvl="0">
      <w:lvlJc w:val="left"/>
      <w:lvlText w:val="%1."/>
      <w:numFmt w:val="decimal"/>
      <w:start w:val="8"/>
    </w:lvl>
  </w:abstractNum>
  <w:abstractNum w:abstractNumId="157">
    <w:nsid w:val="6181EF69"/>
    <w:multiLevelType w:val="hybridMultilevel"/>
    <w:lvl w:ilvl="0">
      <w:lvlJc w:val="left"/>
      <w:lvlText w:val="%1."/>
      <w:numFmt w:val="decimal"/>
      <w:start w:val="9"/>
    </w:lvl>
  </w:abstractNum>
  <w:abstractNum w:abstractNumId="158">
    <w:nsid w:val="3E6400E6"/>
    <w:multiLevelType w:val="hybridMultilevel"/>
    <w:lvl w:ilvl="0">
      <w:lvlJc w:val="left"/>
      <w:lvlText w:val="(%1)"/>
      <w:numFmt w:val="lowerLetter"/>
      <w:start w:val="1"/>
    </w:lvl>
  </w:abstractNum>
  <w:abstractNum w:abstractNumId="159">
    <w:nsid w:val="14217E23"/>
    <w:multiLevelType w:val="hybridMultilevel"/>
    <w:lvl w:ilvl="0">
      <w:lvlJc w:val="left"/>
      <w:lvlText w:val="(%1)"/>
      <w:numFmt w:val="lowerLetter"/>
      <w:start w:val="2"/>
    </w:lvl>
  </w:abstractNum>
  <w:abstractNum w:abstractNumId="160">
    <w:nsid w:val="710757D0"/>
    <w:multiLevelType w:val="hybridMultilevel"/>
    <w:lvl w:ilvl="0">
      <w:lvlJc w:val="left"/>
      <w:lvlText w:val="(%1)"/>
      <w:numFmt w:val="lowerRoman"/>
      <w:start w:val="1"/>
    </w:lvl>
  </w:abstractNum>
  <w:abstractNum w:abstractNumId="161">
    <w:nsid w:val="5015CD1A"/>
    <w:multiLevelType w:val="hybridMultilevel"/>
    <w:lvl w:ilvl="0">
      <w:lvlJc w:val="left"/>
      <w:lvlText w:val="(%1)"/>
      <w:numFmt w:val="lowerRoman"/>
      <w:start w:val="6"/>
    </w:lvl>
  </w:abstractNum>
  <w:abstractNum w:abstractNumId="162">
    <w:nsid w:val="424479DA"/>
    <w:multiLevelType w:val="hybridMultilevel"/>
    <w:lvl w:ilvl="0">
      <w:lvlJc w:val="left"/>
      <w:lvlText w:val="(%1)"/>
      <w:numFmt w:val="lowerLetter"/>
      <w:start w:val="1"/>
    </w:lvl>
  </w:abstractNum>
  <w:abstractNum w:abstractNumId="163">
    <w:nsid w:val="1A9A9E69"/>
    <w:multiLevelType w:val="hybridMultilevel"/>
    <w:lvl w:ilvl="0">
      <w:lvlJc w:val="left"/>
      <w:lvlText w:val="(%1)"/>
      <w:numFmt w:val="lowerLetter"/>
      <w:start w:val="1"/>
    </w:lvl>
  </w:abstractNum>
  <w:abstractNum w:abstractNumId="164">
    <w:nsid w:val="475E256A"/>
    <w:multiLevelType w:val="hybridMultilevel"/>
    <w:lvl w:ilvl="0">
      <w:lvlJc w:val="left"/>
      <w:lvlText w:val="(%1)"/>
      <w:numFmt w:val="lowerLetter"/>
      <w:start w:val="2"/>
    </w:lvl>
  </w:abstractNum>
  <w:abstractNum w:abstractNumId="165">
    <w:nsid w:val="368DB37E"/>
    <w:multiLevelType w:val="hybridMultilevel"/>
    <w:lvl w:ilvl="0">
      <w:lvlJc w:val="left"/>
      <w:lvlText w:val="(%1)"/>
      <w:numFmt w:val="lowerLetter"/>
      <w:start w:val="3"/>
    </w:lvl>
  </w:abstractNum>
  <w:abstractNum w:abstractNumId="166">
    <w:nsid w:val="6A3B714C"/>
    <w:multiLevelType w:val="hybridMultilevel"/>
    <w:lvl w:ilvl="0">
      <w:lvlJc w:val="left"/>
      <w:lvlText w:val="(%1)"/>
      <w:numFmt w:val="lowerRoman"/>
      <w:start w:val="1"/>
    </w:lvl>
  </w:abstractNum>
  <w:abstractNum w:abstractNumId="167">
    <w:nsid w:val="327B517E"/>
    <w:multiLevelType w:val="hybridMultilevel"/>
    <w:lvl w:ilvl="0">
      <w:lvlJc w:val="left"/>
      <w:lvlText w:val="(%1)"/>
      <w:numFmt w:val="lowerRoman"/>
      <w:start w:val="6"/>
    </w:lvl>
  </w:abstractNum>
  <w:abstractNum w:abstractNumId="168">
    <w:nsid w:val="1F461B51"/>
    <w:multiLevelType w:val="hybridMultilevel"/>
    <w:lvl w:ilvl="0">
      <w:lvlJc w:val="left"/>
      <w:lvlText w:val="(%1)"/>
      <w:numFmt w:val="lowerLetter"/>
      <w:start w:val="1"/>
    </w:lvl>
  </w:abstractNum>
  <w:abstractNum w:abstractNumId="169">
    <w:nsid w:val="29BACF25"/>
    <w:multiLevelType w:val="hybridMultilevel"/>
    <w:lvl w:ilvl="0">
      <w:lvlJc w:val="left"/>
      <w:lvlText w:val="%1."/>
      <w:numFmt w:val="decimal"/>
      <w:start w:val="1"/>
    </w:lvl>
    <w:lvl w:ilvl="1">
      <w:lvlJc w:val="left"/>
      <w:lvlText w:val="%2."/>
      <w:numFmt w:val="upperLetter"/>
      <w:start w:val="1"/>
    </w:lvl>
  </w:abstractNum>
  <w:abstractNum w:abstractNumId="170">
    <w:nsid w:val="5D5BABB3"/>
    <w:multiLevelType w:val="hybridMultilevel"/>
    <w:lvl w:ilvl="0">
      <w:lvlJc w:val="left"/>
      <w:lvlText w:val="%1."/>
      <w:numFmt w:val="upperLetter"/>
      <w:start w:val="3"/>
    </w:lvl>
  </w:abstractNum>
  <w:abstractNum w:abstractNumId="171">
    <w:nsid w:val="51BF6B48"/>
    <w:multiLevelType w:val="hybridMultilevel"/>
    <w:lvl w:ilvl="0">
      <w:lvlJc w:val="left"/>
      <w:lvlText w:val="%1."/>
      <w:numFmt w:val="decimal"/>
      <w:start w:val="2"/>
    </w:lvl>
  </w:abstractNum>
  <w:abstractNum w:abstractNumId="172">
    <w:nsid w:val="7E0F6384"/>
    <w:multiLevelType w:val="hybridMultilevel"/>
    <w:lvl w:ilvl="0">
      <w:lvlJc w:val="left"/>
      <w:lvlText w:val="%1."/>
      <w:numFmt w:val="decimal"/>
      <w:start w:val="3"/>
    </w:lvl>
  </w:abstractNum>
  <w:abstractNum w:abstractNumId="173">
    <w:nsid w:val="2B4B8B53"/>
    <w:multiLevelType w:val="hybridMultilevel"/>
    <w:lvl w:ilvl="0">
      <w:lvlJc w:val="left"/>
      <w:lvlText w:val="%1."/>
      <w:numFmt w:val="decimal"/>
      <w:start w:val="5"/>
    </w:lvl>
    <w:lvl w:ilvl="1">
      <w:lvlJc w:val="left"/>
      <w:lvlText w:val="%2"/>
      <w:numFmt w:val="upperLetter"/>
      <w:start w:val="1"/>
    </w:lvl>
  </w:abstractNum>
  <w:abstractNum w:abstractNumId="174">
    <w:nsid w:val="72E3413A"/>
    <w:multiLevelType w:val="hybridMultilevel"/>
    <w:lvl w:ilvl="0">
      <w:lvlJc w:val="left"/>
      <w:lvlText w:val="%1"/>
      <w:numFmt w:val="decimal"/>
      <w:start w:val="1"/>
    </w:lvl>
    <w:lvl w:ilvl="1">
      <w:lvlJc w:val="left"/>
      <w:lvlText w:val="%2."/>
      <w:numFmt w:val="upperLetter"/>
      <w:start w:val="2"/>
    </w:lvl>
  </w:abstractNum>
  <w:abstractNum w:abstractNumId="175">
    <w:nsid w:val="116AE494"/>
    <w:multiLevelType w:val="hybridMultilevel"/>
    <w:lvl w:ilvl="0">
      <w:lvlJc w:val="left"/>
      <w:lvlText w:val="%1."/>
      <w:numFmt w:val="decimal"/>
      <w:start w:val="7"/>
    </w:lvl>
    <w:lvl w:ilvl="1">
      <w:lvlJc w:val="left"/>
      <w:lvlText w:val="%2"/>
      <w:numFmt w:val="upperLetter"/>
      <w:start w:val="1"/>
    </w:lvl>
  </w:abstractNum>
  <w:abstractNum w:abstractNumId="176">
    <w:nsid w:val="3494B2FB"/>
    <w:multiLevelType w:val="hybridMultilevel"/>
    <w:lvl w:ilvl="0">
      <w:lvlJc w:val="left"/>
      <w:lvlText w:val="%1."/>
      <w:numFmt w:val="decimal"/>
      <w:start w:val="9"/>
    </w:lvl>
    <w:lvl w:ilvl="1">
      <w:lvlJc w:val="left"/>
      <w:lvlText w:val="%2"/>
      <w:numFmt w:val="upperLetter"/>
      <w:start w:val="1"/>
    </w:lvl>
  </w:abstractNum>
  <w:abstractNum w:abstractNumId="177">
    <w:nsid w:val="B13A31"/>
    <w:multiLevelType w:val="hybridMultilevel"/>
    <w:lvl w:ilvl="0">
      <w:lvlJc w:val="left"/>
      <w:lvlText w:val="(%1)"/>
      <w:numFmt w:val="decimal"/>
      <w:start w:val="2"/>
    </w:lvl>
    <w:lvl w:ilvl="1">
      <w:lvlJc w:val="left"/>
      <w:lvlText w:val="%2."/>
      <w:numFmt w:val="decimal"/>
      <w:start w:val="9"/>
    </w:lvl>
    <w:lvl w:ilvl="2">
      <w:lvlJc w:val="left"/>
      <w:lvlText w:val="%3."/>
      <w:numFmt w:val="upperLetter"/>
      <w:start w:val="2"/>
    </w:lvl>
  </w:abstractNum>
  <w:abstractNum w:abstractNumId="178">
    <w:nsid w:val="64429599"/>
    <w:multiLevelType w:val="hybridMultilevel"/>
    <w:lvl w:ilvl="0">
      <w:lvlJc w:val="left"/>
      <w:lvlText w:val="%1."/>
      <w:numFmt w:val="decimal"/>
      <w:start w:val="11"/>
    </w:lvl>
  </w:abstractNum>
  <w:abstractNum w:abstractNumId="179">
    <w:nsid w:val="631F1690"/>
    <w:multiLevelType w:val="hybridMultilevel"/>
    <w:lvl w:ilvl="0">
      <w:lvlJc w:val="left"/>
      <w:lvlText w:val="%1."/>
      <w:numFmt w:val="decimal"/>
      <w:start w:val="14"/>
    </w:lvl>
  </w:abstractNum>
  <w:abstractNum w:abstractNumId="180">
    <w:nsid w:val="25973E32"/>
    <w:multiLevelType w:val="hybridMultilevel"/>
    <w:lvl w:ilvl="0">
      <w:lvlJc w:val="left"/>
      <w:lvlText w:val="%1."/>
      <w:numFmt w:val="decimal"/>
      <w:start w:val="1"/>
    </w:lvl>
  </w:abstractNum>
  <w:abstractNum w:abstractNumId="181">
    <w:nsid w:val="EAD6F57"/>
    <w:multiLevelType w:val="hybridMultilevel"/>
    <w:lvl w:ilvl="0">
      <w:lvlJc w:val="left"/>
      <w:lvlText w:val="%1."/>
      <w:numFmt w:val="upperLetter"/>
      <w:start w:val="2"/>
    </w:lvl>
  </w:abstractNum>
  <w:abstractNum w:abstractNumId="182">
    <w:nsid w:val="6EC9D844"/>
    <w:multiLevelType w:val="hybridMultilevel"/>
    <w:lvl w:ilvl="0">
      <w:lvlJc w:val="left"/>
      <w:lvlText w:val="%1."/>
      <w:numFmt w:val="decimal"/>
      <w:start w:val="2"/>
    </w:lvl>
    <w:lvl w:ilvl="1">
      <w:lvlJc w:val="left"/>
      <w:lvlText w:val="%2"/>
      <w:numFmt w:val="upperLetter"/>
      <w:start w:val="1"/>
    </w:lvl>
  </w:abstractNum>
  <w:abstractNum w:abstractNumId="183">
    <w:nsid w:val="5C49EAEE"/>
    <w:multiLevelType w:val="hybridMultilevel"/>
    <w:lvl w:ilvl="0">
      <w:lvlJc w:val="left"/>
      <w:lvlText w:val="%1."/>
      <w:numFmt w:val="upperLetter"/>
      <w:start w:val="2"/>
    </w:lvl>
  </w:abstractNum>
  <w:abstractNum w:abstractNumId="184">
    <w:nsid w:val="64AF49B"/>
    <w:multiLevelType w:val="hybridMultilevel"/>
    <w:lvl w:ilvl="0">
      <w:lvlJc w:val="left"/>
      <w:lvlText w:val="%1."/>
      <w:numFmt w:val="upperLetter"/>
      <w:start w:val="9"/>
    </w:lvl>
    <w:lvl w:ilvl="1">
      <w:lvlJc w:val="left"/>
      <w:lvlText w:val="-"/>
      <w:numFmt w:val="bullet"/>
      <w:start w:val="1"/>
    </w:lvl>
  </w:abstractNum>
  <w:abstractNum w:abstractNumId="185">
    <w:nsid w:val="397C46BC"/>
    <w:multiLevelType w:val="hybridMultilevel"/>
    <w:lvl w:ilvl="0">
      <w:lvlJc w:val="left"/>
      <w:lvlText w:val="%1."/>
      <w:numFmt w:val="upperLetter"/>
      <w:start w:val="35"/>
    </w:lvl>
    <w:lvl w:ilvl="1">
      <w:lvlJc w:val="left"/>
      <w:lvlText w:val="-"/>
      <w:numFmt w:val="bullet"/>
      <w:start w:val="1"/>
    </w:lvl>
  </w:abstractNum>
  <w:abstractNum w:abstractNumId="186">
    <w:nsid w:val="7E448DE9"/>
    <w:multiLevelType w:val="hybridMultilevel"/>
    <w:lvl w:ilvl="0">
      <w:lvlJc w:val="left"/>
      <w:lvlText w:val="***"/>
      <w:numFmt w:val="bullet"/>
      <w:start w:val="1"/>
    </w:lvl>
  </w:abstractNum>
  <w:abstractNum w:abstractNumId="187">
    <w:nsid w:val="5A9CC3E5"/>
    <w:multiLevelType w:val="hybridMultilevel"/>
    <w:lvl w:ilvl="0">
      <w:lvlJc w:val="left"/>
      <w:lvlText w:val="****"/>
      <w:numFmt w:val="bullet"/>
      <w:start w:val="1"/>
    </w:lvl>
  </w:abstractNum>
  <w:abstractNum w:abstractNumId="188">
    <w:nsid w:val="1AFE3625"/>
    <w:multiLevelType w:val="hybridMultilevel"/>
    <w:lvl w:ilvl="0">
      <w:lvlJc w:val="left"/>
      <w:lvlText w:val="*****"/>
      <w:numFmt w:val="bullet"/>
      <w:start w:val="1"/>
    </w:lvl>
  </w:abstractNum>
  <w:abstractNum w:abstractNumId="189">
    <w:nsid w:val="3CA88ECF"/>
    <w:multiLevelType w:val="hybridMultilevel"/>
    <w:lvl w:ilvl="0">
      <w:lvlJc w:val="left"/>
      <w:lvlText w:val="(%1)"/>
      <w:numFmt w:val="decimal"/>
      <w:start w:val="1"/>
    </w:lvl>
  </w:abstractNum>
  <w:abstractNum w:abstractNumId="190">
    <w:nsid w:val="6EBE4208"/>
    <w:multiLevelType w:val="hybridMultilevel"/>
    <w:lvl w:ilvl="0">
      <w:lvlJc w:val="left"/>
      <w:lvlText w:val="(%1)"/>
      <w:numFmt w:val="decimal"/>
      <w:start w:val="1"/>
    </w:lvl>
    <w:lvl w:ilvl="1">
      <w:lvlJc w:val="left"/>
      <w:lvlText w:val="(%2)"/>
      <w:numFmt w:val="lowerLetter"/>
      <w:start w:val="1"/>
    </w:lvl>
  </w:abstractNum>
  <w:abstractNum w:abstractNumId="191">
    <w:nsid w:val="C058DF5"/>
    <w:multiLevelType w:val="hybridMultilevel"/>
    <w:lvl w:ilvl="0">
      <w:lvlJc w:val="left"/>
      <w:lvlText w:val="(%1)"/>
      <w:numFmt w:val="decimal"/>
      <w:start w:val="1"/>
    </w:lvl>
    <w:lvl w:ilvl="1">
      <w:lvlJc w:val="left"/>
      <w:lvlText w:val="(%2)"/>
      <w:numFmt w:val="lowerLetter"/>
      <w:start w:val="1"/>
    </w:lvl>
  </w:abstractNum>
  <w:abstractNum w:abstractNumId="192">
    <w:nsid w:val="CBE5BE9"/>
    <w:multiLevelType w:val="hybridMultilevel"/>
    <w:lvl w:ilvl="0">
      <w:lvlJc w:val="left"/>
      <w:lvlText w:val="(%1)"/>
      <w:numFmt w:val="decimal"/>
      <w:start w:val="1"/>
    </w:lvl>
    <w:lvl w:ilvl="1">
      <w:lvlJc w:val="left"/>
      <w:lvlText w:val="(%2)"/>
      <w:numFmt w:val="lowerLetter"/>
      <w:start w:val="1"/>
    </w:lvl>
  </w:abstractNum>
  <w:abstractNum w:abstractNumId="193">
    <w:nsid w:val="3102BBE2"/>
    <w:multiLevelType w:val="hybridMultilevel"/>
    <w:lvl w:ilvl="0">
      <w:lvlJc w:val="left"/>
      <w:lvlText w:val="(%1)"/>
      <w:numFmt w:val="decimal"/>
      <w:start w:val="1"/>
    </w:lvl>
    <w:lvl w:ilvl="1">
      <w:lvlJc w:val="left"/>
      <w:lvlText w:val="(%2)"/>
      <w:numFmt w:val="lowerLetter"/>
      <w:start w:val="1"/>
    </w:lvl>
  </w:abstractNum>
  <w:abstractNum w:abstractNumId="194">
    <w:nsid w:val="26A02C5E"/>
    <w:multiLevelType w:val="hybridMultilevel"/>
    <w:lvl w:ilvl="0">
      <w:lvlJc w:val="left"/>
      <w:lvlText w:val="(%1)"/>
      <w:numFmt w:val="decimal"/>
      <w:start w:val="1"/>
    </w:lvl>
  </w:abstractNum>
  <w:abstractNum w:abstractNumId="195">
    <w:nsid w:val="541C81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6" Type="http://schemas.openxmlformats.org/officeDocument/2006/relationships/image" Target="media/image110.png"/><Relationship Id="rId138" Type="http://schemas.openxmlformats.org/officeDocument/2006/relationships/image" Target="media/image111.png"/><Relationship Id="rId150" Type="http://schemas.openxmlformats.org/officeDocument/2006/relationships/image" Target="media/image112.png"/><Relationship Id="rId164" Type="http://schemas.openxmlformats.org/officeDocument/2006/relationships/image" Target="media/image113.png"/><Relationship Id="rId177" Type="http://schemas.openxmlformats.org/officeDocument/2006/relationships/image" Target="media/image114.png"/><Relationship Id="rId192" Type="http://schemas.openxmlformats.org/officeDocument/2006/relationships/image" Target="media/image115.png"/><Relationship Id="rId207" Type="http://schemas.openxmlformats.org/officeDocument/2006/relationships/image" Target="media/image116.png"/><Relationship Id="rId222" Type="http://schemas.openxmlformats.org/officeDocument/2006/relationships/image" Target="media/image117.png"/><Relationship Id="rId237" Type="http://schemas.openxmlformats.org/officeDocument/2006/relationships/image" Target="media/image118.png"/><Relationship Id="rId252" Type="http://schemas.openxmlformats.org/officeDocument/2006/relationships/image" Target="media/image119.png"/><Relationship Id="rId262" Type="http://schemas.openxmlformats.org/officeDocument/2006/relationships/image" Target="media/image120.png"/><Relationship Id="rId267" Type="http://schemas.openxmlformats.org/officeDocument/2006/relationships/image" Target="media/image121.png"/><Relationship Id="rId269" Type="http://schemas.openxmlformats.org/officeDocument/2006/relationships/image" Target="media/image122.png"/><Relationship Id="rId270" Type="http://schemas.openxmlformats.org/officeDocument/2006/relationships/image" Target="media/image123.png"/><Relationship Id="rId271" Type="http://schemas.openxmlformats.org/officeDocument/2006/relationships/image" Target="media/image124.png"/><Relationship Id="rId272" Type="http://schemas.openxmlformats.org/officeDocument/2006/relationships/image" Target="media/image125.png"/><Relationship Id="rId273" Type="http://schemas.openxmlformats.org/officeDocument/2006/relationships/image" Target="media/image126.png"/><Relationship Id="rId274" Type="http://schemas.openxmlformats.org/officeDocument/2006/relationships/image" Target="media/image127.png"/><Relationship Id="rId275" Type="http://schemas.openxmlformats.org/officeDocument/2006/relationships/image" Target="media/image128.png"/><Relationship Id="rId276" Type="http://schemas.openxmlformats.org/officeDocument/2006/relationships/image" Target="media/image129.jpeg"/><Relationship Id="rId277" Type="http://schemas.openxmlformats.org/officeDocument/2006/relationships/image" Target="media/image130.png"/><Relationship Id="rId278" Type="http://schemas.openxmlformats.org/officeDocument/2006/relationships/image" Target="media/image131.png"/><Relationship Id="rId279" Type="http://schemas.openxmlformats.org/officeDocument/2006/relationships/image" Target="media/image132.png"/><Relationship Id="rId280" Type="http://schemas.openxmlformats.org/officeDocument/2006/relationships/image" Target="media/image133.png"/><Relationship Id="rId281" Type="http://schemas.openxmlformats.org/officeDocument/2006/relationships/image" Target="media/image134.png"/><Relationship Id="rId282" Type="http://schemas.openxmlformats.org/officeDocument/2006/relationships/image" Target="media/image135.png"/><Relationship Id="rId283" Type="http://schemas.openxmlformats.org/officeDocument/2006/relationships/image" Target="media/image136.png"/><Relationship Id="rId284" Type="http://schemas.openxmlformats.org/officeDocument/2006/relationships/image" Target="media/image137.png"/><Relationship Id="rId285" Type="http://schemas.openxmlformats.org/officeDocument/2006/relationships/image" Target="media/image138.png"/><Relationship Id="rId286" Type="http://schemas.openxmlformats.org/officeDocument/2006/relationships/image" Target="media/image139.jpeg"/><Relationship Id="rId287" Type="http://schemas.openxmlformats.org/officeDocument/2006/relationships/image" Target="media/image140.png"/><Relationship Id="rId288" Type="http://schemas.openxmlformats.org/officeDocument/2006/relationships/image" Target="media/image141.jpeg"/><Relationship Id="rId289" Type="http://schemas.openxmlformats.org/officeDocument/2006/relationships/image" Target="media/image142.png"/><Relationship Id="rId290" Type="http://schemas.openxmlformats.org/officeDocument/2006/relationships/image" Target="media/image143.png"/><Relationship Id="rId291" Type="http://schemas.openxmlformats.org/officeDocument/2006/relationships/image" Target="media/image144.jpeg"/><Relationship Id="rId292" Type="http://schemas.openxmlformats.org/officeDocument/2006/relationships/image" Target="media/image145.png"/><Relationship Id="rId293" Type="http://schemas.openxmlformats.org/officeDocument/2006/relationships/image" Target="media/image146.jpeg"/><Relationship Id="rId294" Type="http://schemas.openxmlformats.org/officeDocument/2006/relationships/image" Target="media/image147.jpeg"/><Relationship Id="rId295" Type="http://schemas.openxmlformats.org/officeDocument/2006/relationships/image" Target="media/image148.png"/><Relationship Id="rId296" Type="http://schemas.openxmlformats.org/officeDocument/2006/relationships/image" Target="media/image149.png"/><Relationship Id="rId297" Type="http://schemas.openxmlformats.org/officeDocument/2006/relationships/image" Target="media/image150.jpeg"/><Relationship Id="rId298" Type="http://schemas.openxmlformats.org/officeDocument/2006/relationships/image" Target="media/image151.jpeg"/><Relationship Id="rId299" Type="http://schemas.openxmlformats.org/officeDocument/2006/relationships/image" Target="media/image152.jpeg"/><Relationship Id="rId300" Type="http://schemas.openxmlformats.org/officeDocument/2006/relationships/image" Target="media/image153.jpeg"/><Relationship Id="rId301" Type="http://schemas.openxmlformats.org/officeDocument/2006/relationships/image" Target="media/image154.png"/><Relationship Id="rId302" Type="http://schemas.openxmlformats.org/officeDocument/2006/relationships/image" Target="media/image155.png"/><Relationship Id="rId303" Type="http://schemas.openxmlformats.org/officeDocument/2006/relationships/image" Target="media/image156.jpeg"/><Relationship Id="rId304" Type="http://schemas.openxmlformats.org/officeDocument/2006/relationships/image" Target="media/image157.jpeg"/><Relationship Id="rId305" Type="http://schemas.openxmlformats.org/officeDocument/2006/relationships/image" Target="media/image158.jpeg"/><Relationship Id="rId306" Type="http://schemas.openxmlformats.org/officeDocument/2006/relationships/image" Target="media/image159.jpeg"/><Relationship Id="rId307" Type="http://schemas.openxmlformats.org/officeDocument/2006/relationships/image" Target="media/image160.jpeg"/><Relationship Id="rId308" Type="http://schemas.openxmlformats.org/officeDocument/2006/relationships/image" Target="media/image161.png"/><Relationship Id="rId309" Type="http://schemas.openxmlformats.org/officeDocument/2006/relationships/image" Target="media/image162.png"/><Relationship Id="rId310" Type="http://schemas.openxmlformats.org/officeDocument/2006/relationships/image" Target="media/image163.jpeg"/><Relationship Id="rId311" Type="http://schemas.openxmlformats.org/officeDocument/2006/relationships/image" Target="media/image164.jpeg"/><Relationship Id="rId312" Type="http://schemas.openxmlformats.org/officeDocument/2006/relationships/image" Target="media/image165.jpeg"/><Relationship Id="rId313" Type="http://schemas.openxmlformats.org/officeDocument/2006/relationships/image" Target="media/image166.jpeg"/><Relationship Id="rId314" Type="http://schemas.openxmlformats.org/officeDocument/2006/relationships/image" Target="media/image167.jpeg"/><Relationship Id="rId315" Type="http://schemas.openxmlformats.org/officeDocument/2006/relationships/image" Target="media/image168.jpeg"/><Relationship Id="rId316" Type="http://schemas.openxmlformats.org/officeDocument/2006/relationships/image" Target="media/image169.jpeg"/><Relationship Id="rId317" Type="http://schemas.openxmlformats.org/officeDocument/2006/relationships/image" Target="media/image170.png"/><Relationship Id="rId318" Type="http://schemas.openxmlformats.org/officeDocument/2006/relationships/image" Target="media/image171.png"/><Relationship Id="rId319" Type="http://schemas.openxmlformats.org/officeDocument/2006/relationships/image" Target="media/image172.jpeg"/><Relationship Id="rId320" Type="http://schemas.openxmlformats.org/officeDocument/2006/relationships/image" Target="media/image173.jpeg"/><Relationship Id="rId321" Type="http://schemas.openxmlformats.org/officeDocument/2006/relationships/image" Target="media/image174.jpeg"/><Relationship Id="rId322" Type="http://schemas.openxmlformats.org/officeDocument/2006/relationships/image" Target="media/image175.png"/><Relationship Id="rId323" Type="http://schemas.openxmlformats.org/officeDocument/2006/relationships/image" Target="media/image176.png"/><Relationship Id="rId324" Type="http://schemas.openxmlformats.org/officeDocument/2006/relationships/image" Target="media/image177.jpeg"/><Relationship Id="rId325" Type="http://schemas.openxmlformats.org/officeDocument/2006/relationships/image" Target="media/image178.jpeg"/><Relationship Id="rId326" Type="http://schemas.openxmlformats.org/officeDocument/2006/relationships/image" Target="media/image179.jpeg"/><Relationship Id="rId327" Type="http://schemas.openxmlformats.org/officeDocument/2006/relationships/image" Target="media/image180.png"/><Relationship Id="rId328" Type="http://schemas.openxmlformats.org/officeDocument/2006/relationships/image" Target="media/image181.png"/><Relationship Id="rId329" Type="http://schemas.openxmlformats.org/officeDocument/2006/relationships/image" Target="media/image182.jpeg"/><Relationship Id="rId330" Type="http://schemas.openxmlformats.org/officeDocument/2006/relationships/image" Target="media/image183.jpeg"/><Relationship Id="rId331" Type="http://schemas.openxmlformats.org/officeDocument/2006/relationships/image" Target="media/image184.jpeg"/><Relationship Id="rId332" Type="http://schemas.openxmlformats.org/officeDocument/2006/relationships/image" Target="media/image185.png"/><Relationship Id="rId333" Type="http://schemas.openxmlformats.org/officeDocument/2006/relationships/image" Target="media/image186.jpeg"/><Relationship Id="rId334" Type="http://schemas.openxmlformats.org/officeDocument/2006/relationships/image" Target="media/image187.jpeg"/><Relationship Id="rId335" Type="http://schemas.openxmlformats.org/officeDocument/2006/relationships/image" Target="media/image188.png"/><Relationship Id="rId336" Type="http://schemas.openxmlformats.org/officeDocument/2006/relationships/image" Target="media/image189.png"/><Relationship Id="rId337" Type="http://schemas.openxmlformats.org/officeDocument/2006/relationships/image" Target="media/image190.jpeg"/><Relationship Id="rId338" Type="http://schemas.openxmlformats.org/officeDocument/2006/relationships/image" Target="media/image191.png"/><Relationship Id="rId339" Type="http://schemas.openxmlformats.org/officeDocument/2006/relationships/image" Target="media/image192.png"/><Relationship Id="rId340" Type="http://schemas.openxmlformats.org/officeDocument/2006/relationships/image" Target="media/image193.png"/><Relationship Id="rId341" Type="http://schemas.openxmlformats.org/officeDocument/2006/relationships/image" Target="media/image194.png"/><Relationship Id="rId342" Type="http://schemas.openxmlformats.org/officeDocument/2006/relationships/image" Target="media/image195.png"/><Relationship Id="rId343" Type="http://schemas.openxmlformats.org/officeDocument/2006/relationships/image" Target="media/image196.png"/><Relationship Id="rId344" Type="http://schemas.openxmlformats.org/officeDocument/2006/relationships/image" Target="media/image197.png"/><Relationship Id="rId345" Type="http://schemas.openxmlformats.org/officeDocument/2006/relationships/image" Target="media/image198.png"/><Relationship Id="rId346" Type="http://schemas.openxmlformats.org/officeDocument/2006/relationships/image" Target="media/image199.png"/><Relationship Id="rId347" Type="http://schemas.openxmlformats.org/officeDocument/2006/relationships/image" Target="media/image200.png"/><Relationship Id="rId348" Type="http://schemas.openxmlformats.org/officeDocument/2006/relationships/image" Target="media/image201.png"/><Relationship Id="rId349" Type="http://schemas.openxmlformats.org/officeDocument/2006/relationships/image" Target="media/image202.png"/><Relationship Id="rId350" Type="http://schemas.openxmlformats.org/officeDocument/2006/relationships/image" Target="media/image203.png"/><Relationship Id="rId351" Type="http://schemas.openxmlformats.org/officeDocument/2006/relationships/image" Target="media/image204.png"/><Relationship Id="rId352" Type="http://schemas.openxmlformats.org/officeDocument/2006/relationships/image" Target="media/image205.png"/><Relationship Id="rId353" Type="http://schemas.openxmlformats.org/officeDocument/2006/relationships/image" Target="media/image206.png"/><Relationship Id="rId354" Type="http://schemas.openxmlformats.org/officeDocument/2006/relationships/image" Target="media/image207.png"/><Relationship Id="rId355" Type="http://schemas.openxmlformats.org/officeDocument/2006/relationships/image" Target="media/image208.png"/><Relationship Id="rId117" Type="http://schemas.openxmlformats.org/officeDocument/2006/relationships/hyperlink" Target="https://www.sec.gov/Archives/edgar/data/100517/000110465919037929/a19-12113_1ex3d1.htm" TargetMode="External"/><Relationship Id="rId118" Type="http://schemas.openxmlformats.org/officeDocument/2006/relationships/hyperlink" Target="https://www.sec.gov/Archives/edgar/data/100517/000110465924129787/tm2431350d1_ex3-1.htm" TargetMode="External"/><Relationship Id="rId119" Type="http://schemas.openxmlformats.org/officeDocument/2006/relationships/hyperlink" Target="https://www.sec.gov/Archives/edgar/data/100517/000110465920132578/tm2037699d1_ex3-1.htm" TargetMode="External"/><Relationship Id="rId120" Type="http://schemas.openxmlformats.org/officeDocument/2006/relationships/hyperlink" Target="https://www.sec.gov/Archives/edgar/data/100517/000119312513140583/d514659dex31.htm" TargetMode="External"/><Relationship Id="rId121" Type="http://schemas.openxmlformats.org/officeDocument/2006/relationships/hyperlink" Target="https://www.sec.gov/Archives/edgar/data/100517/000119312513140583/d514659dex32.htm" TargetMode="External"/><Relationship Id="rId122" Type="http://schemas.openxmlformats.org/officeDocument/2006/relationships/hyperlink" Target="https://www.sec.gov/Archives/edgar/data/100517/000095015513000024/e62332806ex4_1.htm" TargetMode="External"/><Relationship Id="rId123" Type="http://schemas.openxmlformats.org/officeDocument/2006/relationships/hyperlink" Target="https://www.sec.gov/Archives/edgar/data/100517/000110465920050368/tm2016500d1_ex4-1.htm" TargetMode="External"/><Relationship Id="rId124" Type="http://schemas.openxmlformats.org/officeDocument/2006/relationships/hyperlink" Target="https://www.sec.gov/Archives/edgar/data/100517/000010051721000005/exhibit41promissorynotedat.htm" TargetMode="External"/><Relationship Id="rId125" Type="http://schemas.openxmlformats.org/officeDocument/2006/relationships/hyperlink" Target="https://www.sec.gov/Archives/edgar/data/0000100517/000110465921053890/tm2112699d6_ex4-1.htm" TargetMode="External"/><Relationship Id="rId127" Type="http://schemas.openxmlformats.org/officeDocument/2006/relationships/hyperlink" Target="https://www.sec.gov/Archives/edgar/data/100517/000110465921053890/tm2112699d6_ex4-1.htm" TargetMode="External"/><Relationship Id="rId128" Type="http://schemas.openxmlformats.org/officeDocument/2006/relationships/hyperlink" Target="https://www.sec.gov/Archives/edgar/data/0000100517/000110465921058988/tm2114651d1_ex4-1.htm" TargetMode="External"/><Relationship Id="rId129" Type="http://schemas.openxmlformats.org/officeDocument/2006/relationships/hyperlink" Target="https://www.sec.gov/Archives/edgar/data/100517/000110465926009237/tm263646d5_ex4-2.htm" TargetMode="External"/><Relationship Id="rId130" Type="http://schemas.openxmlformats.org/officeDocument/2006/relationships/hyperlink" Target="https://www.sec.gov/Archives/edgar/data/100517/000110465926009237/tm263646d5_ex4-2.htm#vea_001" TargetMode="External"/><Relationship Id="rId131" Type="http://schemas.openxmlformats.org/officeDocument/2006/relationships/hyperlink" Target="https://www.sec.gov/Archives/edgar/data/100517/000110465926009237/tm263646d5_ex4-2.htm#veb_001" TargetMode="External"/><Relationship Id="rId132" Type="http://schemas.openxmlformats.org/officeDocument/2006/relationships/hyperlink" Target="https://www.sec.gov/Archives/edgar/data/100517/000110465926011544/tm263646d10_ex4-2.htm" TargetMode="External"/><Relationship Id="rId133" Type="http://schemas.openxmlformats.org/officeDocument/2006/relationships/hyperlink" Target="https://www.sec.gov/Archives/edgar/data/100517/000110465926011544/tm263646d10_ex4-2.htm#vj_001" TargetMode="External"/><Relationship Id="rId134" Type="http://schemas.openxmlformats.org/officeDocument/2006/relationships/hyperlink" Target="https://www.sec.gov/Archives/edgar/data/100517/000110465926011544/tm263646d10_ex4-2.htm#vj_002" TargetMode="External"/><Relationship Id="rId135" Type="http://schemas.openxmlformats.org/officeDocument/2006/relationships/hyperlink" Target="https://www.sec.gov/Archives/edgar/data/100517/000110465920132578/tm2037699d1_ex4-1.htm" TargetMode="External"/><Relationship Id="rId136" Type="http://schemas.openxmlformats.org/officeDocument/2006/relationships/hyperlink" Target="https://www.sec.gov/Archives/edgar/data/100517/000010051721000016/ual_12312010kex418.htm" TargetMode="External"/><Relationship Id="rId137" Type="http://schemas.openxmlformats.org/officeDocument/2006/relationships/hyperlink" Target="https://www.sec.gov/Archives/edgar/data/100517/000110465923123217/tm2332036d2_ex4-3.htm" TargetMode="External"/><Relationship Id="rId139" Type="http://schemas.openxmlformats.org/officeDocument/2006/relationships/hyperlink" Target="https://www.sec.gov/Archives/edgar/data/100517/000110465924050332/tm2412418d1_ex4-4.htm" TargetMode="External"/><Relationship Id="rId140" Type="http://schemas.openxmlformats.org/officeDocument/2006/relationships/hyperlink" Target="https://www.sec.gov/Archives/edgar/data/100517/000110465916112937/a16-8741_2ex10d1.htm" TargetMode="External"/><Relationship Id="rId141" Type="http://schemas.openxmlformats.org/officeDocument/2006/relationships/hyperlink" Target="https://www.sec.gov/Archives/edgar/data/100517/000110465919070590/tm1924595d1_ex10-2.htm" TargetMode="External"/><Relationship Id="rId142" Type="http://schemas.openxmlformats.org/officeDocument/2006/relationships/hyperlink" Target="https://www.sec.gov/Archives/edgar/data/100517/000119312516739859/d259980dex101.htm" TargetMode="External"/><Relationship Id="rId143" Type="http://schemas.openxmlformats.org/officeDocument/2006/relationships/hyperlink" Target="https://www.sec.gov/Archives/edgar/data/100517/000104746908005255/a2184547zdef14a.htm" TargetMode="External"/><Relationship Id="rId144" Type="http://schemas.openxmlformats.org/officeDocument/2006/relationships/hyperlink" Target="https://www.sec.gov/Archives/edgar/data/100517/000104746913004972/a2214585zdef14a.htm#la45701_annex_a" TargetMode="External"/><Relationship Id="rId145" Type="http://schemas.openxmlformats.org/officeDocument/2006/relationships/hyperlink" Target="https://www.sec.gov/Archives/edgar/data/100517/000119312517054129/d300268dex1019.htm" TargetMode="External"/><Relationship Id="rId146" Type="http://schemas.openxmlformats.org/officeDocument/2006/relationships/hyperlink" Target="https://www.sec.gov/Archives/edgar/data/100517/000010051719000009/ual_12311810kex1028.htm" TargetMode="External"/><Relationship Id="rId147" Type="http://schemas.openxmlformats.org/officeDocument/2006/relationships/hyperlink" Target="https://www.sec.gov/Archives/edgar/data/100517/000010051725000046/ual_12312410kex1010.htm" TargetMode="External"/><Relationship Id="rId148" Type="http://schemas.openxmlformats.org/officeDocument/2006/relationships/hyperlink" Target="https://www.sec.gov/Archives/edgar/data/100517/000119312517187534/d378920dex101.htm" TargetMode="External"/><Relationship Id="rId149" Type="http://schemas.openxmlformats.org/officeDocument/2006/relationships/hyperlink" Target="https://www.sec.gov/Archives/edgar/data/100517/000119312517231250/d414345dex107.htm" TargetMode="External"/><Relationship Id="rId151" Type="http://schemas.openxmlformats.org/officeDocument/2006/relationships/hyperlink" Target="https://www.sec.gov/Archives/edgar/data/100517/000110465923065702/tm2317178d1_ex10-2.htm" TargetMode="External"/><Relationship Id="rId152" Type="http://schemas.openxmlformats.org/officeDocument/2006/relationships/hyperlink" Target="https://www.sec.gov/Archives/edgar/data/100517/000010051725000147/ual_2025063010qex101.htm" TargetMode="External"/><Relationship Id="rId153" Type="http://schemas.openxmlformats.org/officeDocument/2006/relationships/hyperlink" Target="https://www.sec.gov/Archives/edgar/data/0000100517/000110465921073549/tm2117454d1_ex10-1.htm" TargetMode="External"/><Relationship Id="rId154" Type="http://schemas.openxmlformats.org/officeDocument/2006/relationships/hyperlink" Target="https://www.sec.gov/Archives/edgar/data/100517/000110465923065702/tm2317178d1_ex10-1.htm" TargetMode="External"/><Relationship Id="rId155" Type="http://schemas.openxmlformats.org/officeDocument/2006/relationships/hyperlink" Target="https://www.sec.gov/Archives/edgar/data/100517/000110465924066121/tm2415786d1_ex10-1.htm" TargetMode="External"/><Relationship Id="rId156" Type="http://schemas.openxmlformats.org/officeDocument/2006/relationships/hyperlink" Target="https://www.sec.gov/Archives/edgar/data/100517/000010051725000046/ual_12312410kex1019.htm" TargetMode="External"/><Relationship Id="rId157" Type="http://schemas.openxmlformats.org/officeDocument/2006/relationships/hyperlink" Target="https://www.sec.gov/Archives/edgar/data/100517/000010051725000046/ual_12312410kex1020.htm" TargetMode="External"/><Relationship Id="rId158" Type="http://schemas.openxmlformats.org/officeDocument/2006/relationships/hyperlink" Target="https://www.sec.gov/Archives/edgar/data/100517/000010051722000024/ual_2022033110qex102.htm" TargetMode="External"/><Relationship Id="rId159" Type="http://schemas.openxmlformats.org/officeDocument/2006/relationships/hyperlink" Target="https://www.sec.gov/Archives/edgar/data/100517/000119312517313831/d437791dex101.htm" TargetMode="External"/><Relationship Id="rId160" Type="http://schemas.openxmlformats.org/officeDocument/2006/relationships/hyperlink" Target="https://www.sec.gov/Archives/edgar/data/100517/000010051719000026/ual09301910qex101.htm" TargetMode="External"/><Relationship Id="rId161" Type="http://schemas.openxmlformats.org/officeDocument/2006/relationships/hyperlink" Target="https://www.sec.gov/Archives/edgar/data/100517/000010051720000010/ual12311910kex1042.htm" TargetMode="External"/><Relationship Id="rId162" Type="http://schemas.openxmlformats.org/officeDocument/2006/relationships/hyperlink" Target="https://www.sec.gov/Archives/edgar/data/100517/000010051723000048/ual_12312210kex1035.htm" TargetMode="External"/><Relationship Id="rId163" Type="http://schemas.openxmlformats.org/officeDocument/2006/relationships/hyperlink" Target="https://www.sec.gov/Archives/edgar/data/100517/000010051723000186/ual_2023093010qex1036.htm" TargetMode="External"/><Relationship Id="rId165" Type="http://schemas.openxmlformats.org/officeDocument/2006/relationships/hyperlink" Target="https://www.sec.gov/Archives/edgar/data/100517/000010051725000046/ual_12312410kex1030.htm" TargetMode="External"/><Relationship Id="rId166" Type="http://schemas.openxmlformats.org/officeDocument/2006/relationships/hyperlink" Target="https://www.sec.gov/Archives/edgar/data/100517/000010051725000091/ual_2025033110qex102.htm" TargetMode="External"/><Relationship Id="rId167" Type="http://schemas.openxmlformats.org/officeDocument/2006/relationships/hyperlink" Target="https://www.sec.gov/Archives/edgar/data/100517/000010051725000147/ual_2025063010qex102.htm" TargetMode="External"/><Relationship Id="rId168" Type="http://schemas.openxmlformats.org/officeDocument/2006/relationships/hyperlink" Target="https://www.sec.gov/Archives/edgar/data/100517/000010051725000193/ual_2025093010qex101.htm" TargetMode="External"/><Relationship Id="rId169" Type="http://schemas.openxmlformats.org/officeDocument/2006/relationships/hyperlink" Target="https://www.sec.gov/Archives/edgar/data/100517/000010051723000186/ual_2023093010qex102.htm" TargetMode="External"/><Relationship Id="rId170" Type="http://schemas.openxmlformats.org/officeDocument/2006/relationships/hyperlink" Target="https://www.sec.gov/Archives/edgar/data/100517/000010051723000186/ual_2023093010qex103.htm" TargetMode="External"/><Relationship Id="rId171" Type="http://schemas.openxmlformats.org/officeDocument/2006/relationships/hyperlink" Target="https://www.sec.gov/Archives/edgar/data/100517/000010051723000186/ual_2023093010qex104.htm" TargetMode="External"/><Relationship Id="rId172" Type="http://schemas.openxmlformats.org/officeDocument/2006/relationships/hyperlink" Target="https://www.sec.gov/Archives/edgar/data/100517/000010051723000186/ual_2023093010qex105.htm" TargetMode="External"/><Relationship Id="rId173" Type="http://schemas.openxmlformats.org/officeDocument/2006/relationships/hyperlink" Target="https://www.sec.gov/Archives/edgar/data/100517/000010051723000186/ual_2023093010qex106.htm" TargetMode="External"/><Relationship Id="rId174" Type="http://schemas.openxmlformats.org/officeDocument/2006/relationships/hyperlink" Target="https://www.sec.gov/Archives/edgar/data/100517/000010051723000186/ual_2023093010qex107.htm" TargetMode="External"/><Relationship Id="rId175" Type="http://schemas.openxmlformats.org/officeDocument/2006/relationships/hyperlink" Target="https://www.sec.gov/Archives/edgar/data/100517/000010051723000186/ual_2023093010qex108.htm" TargetMode="External"/><Relationship Id="rId176" Type="http://schemas.openxmlformats.org/officeDocument/2006/relationships/hyperlink" Target="https://www.sec.gov/Archives/edgar/data/100517/000010051723000186/ual_2023093010qex109.htm" TargetMode="External"/><Relationship Id="rId178" Type="http://schemas.openxmlformats.org/officeDocument/2006/relationships/hyperlink" Target="https://www.sec.gov/Archives/edgar/data/100517/000010051723000186/ual_2023093010qex1010.htm" TargetMode="External"/><Relationship Id="rId179" Type="http://schemas.openxmlformats.org/officeDocument/2006/relationships/hyperlink" Target="https://www.sec.gov/Archives/edgar/data/100517/000010051723000186/ual_2023093010qex1011.htm" TargetMode="External"/><Relationship Id="rId180" Type="http://schemas.openxmlformats.org/officeDocument/2006/relationships/hyperlink" Target="https://www.sec.gov/Archives/edgar/data/100517/000010051723000186/ual_2023093010qex1012.htm" TargetMode="External"/><Relationship Id="rId181" Type="http://schemas.openxmlformats.org/officeDocument/2006/relationships/hyperlink" Target="https://www.sec.gov/Archives/edgar/data/100517/000010051723000186/ual_2023093010qex1013.htm" TargetMode="External"/><Relationship Id="rId182" Type="http://schemas.openxmlformats.org/officeDocument/2006/relationships/hyperlink" Target="https://www.sec.gov/Archives/edgar/data/100517/000010051723000186/ual_2023093010qex1014.htm" TargetMode="External"/><Relationship Id="rId183" Type="http://schemas.openxmlformats.org/officeDocument/2006/relationships/hyperlink" Target="https://www.sec.gov/Archives/edgar/data/100517/000010051723000186/ual_2023093010qex1015.htm" TargetMode="External"/><Relationship Id="rId184" Type="http://schemas.openxmlformats.org/officeDocument/2006/relationships/hyperlink" Target="https://www.sec.gov/Archives/edgar/data/100517/000010051723000186/ual_2023093010qex1016.htm" TargetMode="External"/><Relationship Id="rId185" Type="http://schemas.openxmlformats.org/officeDocument/2006/relationships/hyperlink" Target="https://www.sec.gov/Archives/edgar/data/100517/000010051720000037/ual10qex10703312020.htm" TargetMode="External"/><Relationship Id="rId186" Type="http://schemas.openxmlformats.org/officeDocument/2006/relationships/hyperlink" Target="https://www.sec.gov/Archives/edgar/data/100517/000010051720000046/ual10qex10506302020.htm" TargetMode="External"/><Relationship Id="rId187" Type="http://schemas.openxmlformats.org/officeDocument/2006/relationships/hyperlink" Target="https://www.sec.gov/Archives/edgar/data/100517/000010051723000186/ual_2023093010qex1017.htm" TargetMode="External"/><Relationship Id="rId188" Type="http://schemas.openxmlformats.org/officeDocument/2006/relationships/hyperlink" Target="https://www.sec.gov/Archives/edgar/data/0000100517/000010051721000055/ual_2021063010qex101.htm" TargetMode="External"/><Relationship Id="rId189" Type="http://schemas.openxmlformats.org/officeDocument/2006/relationships/hyperlink" Target="https://www.sec.gov/Archives/edgar/data/100517/000010051721000072/ual_2021093010qex101.htm" TargetMode="External"/><Relationship Id="rId190" Type="http://schemas.openxmlformats.org/officeDocument/2006/relationships/hyperlink" Target="https://www.sec.gov/Archives/edgar/data/100517/000010051721000072/ual_2021093010qex102.htm" TargetMode="External"/><Relationship Id="rId191" Type="http://schemas.openxmlformats.org/officeDocument/2006/relationships/hyperlink" Target="https://www.sec.gov/Archives/edgar/data/100517/000010051722000009/ual_12312110kex1053.htm" TargetMode="External"/><Relationship Id="rId193" Type="http://schemas.openxmlformats.org/officeDocument/2006/relationships/hyperlink" Target="https://www.sec.gov/Archives/edgar/data/100517/000010051722000047/ual_2022063010qex101.htm" TargetMode="External"/><Relationship Id="rId194" Type="http://schemas.openxmlformats.org/officeDocument/2006/relationships/hyperlink" Target="https://www.sec.gov/Archives/edgar/data/100517/000010051724000027/ual_12312310kex1055.htm" TargetMode="External"/><Relationship Id="rId195" Type="http://schemas.openxmlformats.org/officeDocument/2006/relationships/hyperlink" Target="https://www.sec.gov/Archives/edgar/data/100517/000010051723000048/ual_12312210kex1059.htm" TargetMode="External"/><Relationship Id="rId196" Type="http://schemas.openxmlformats.org/officeDocument/2006/relationships/hyperlink" Target="https://www.sec.gov/Archives/edgar/data/100517/000010051723000186/ual_2023093010qex1018.htm" TargetMode="External"/><Relationship Id="rId197" Type="http://schemas.openxmlformats.org/officeDocument/2006/relationships/hyperlink" Target="https://www.sec.gov/Archives/edgar/data/100517/000010051723000186/ual_2023093010qex1019.htm" TargetMode="External"/><Relationship Id="rId198" Type="http://schemas.openxmlformats.org/officeDocument/2006/relationships/hyperlink" Target="https://www.sec.gov/Archives/edgar/data/100517/000010051723000186/ual_2023093010qex1020.htm" TargetMode="External"/><Relationship Id="rId199" Type="http://schemas.openxmlformats.org/officeDocument/2006/relationships/hyperlink" Target="https://www.sec.gov/Archives/edgar/data/100517/000010051723000186/ual_2023093010qex1021.htm" TargetMode="External"/><Relationship Id="rId200" Type="http://schemas.openxmlformats.org/officeDocument/2006/relationships/hyperlink" Target="https://www.sec.gov/Archives/edgar/data/100517/000010051723000186/ual_2023093010qex1022.htm" TargetMode="External"/><Relationship Id="rId201" Type="http://schemas.openxmlformats.org/officeDocument/2006/relationships/hyperlink" Target="https://www.sec.gov/Archives/edgar/data/100517/000010051723000186/ual_2023093010qex1023.htm" TargetMode="External"/><Relationship Id="rId202" Type="http://schemas.openxmlformats.org/officeDocument/2006/relationships/hyperlink" Target="https://www.sec.gov/Archives/edgar/data/100517/000010051723000186/ual_2023093010qex1024.htm" TargetMode="External"/><Relationship Id="rId203" Type="http://schemas.openxmlformats.org/officeDocument/2006/relationships/hyperlink" Target="https://www.sec.gov/Archives/edgar/data/100517/000010051723000186/ual_2023093010qex1025.htm" TargetMode="External"/><Relationship Id="rId204" Type="http://schemas.openxmlformats.org/officeDocument/2006/relationships/hyperlink" Target="https://www.sec.gov/Archives/edgar/data/100517/000010051723000186/ual_2023093010qex1026.htm" TargetMode="External"/><Relationship Id="rId205" Type="http://schemas.openxmlformats.org/officeDocument/2006/relationships/hyperlink" Target="https://www.sec.gov/Archives/edgar/data/100517/000010051723000186/ual_2023093010qex1027.htm" TargetMode="External"/><Relationship Id="rId206" Type="http://schemas.openxmlformats.org/officeDocument/2006/relationships/hyperlink" Target="https://www.sec.gov/Archives/edgar/data/100517/000010051723000186/ual_2023093010qex1028.htm" TargetMode="External"/><Relationship Id="rId208" Type="http://schemas.openxmlformats.org/officeDocument/2006/relationships/hyperlink" Target="https://www.sec.gov/Archives/edgar/data/100517/000010051723000186/ual_2023093010qex1029.htm" TargetMode="External"/><Relationship Id="rId209" Type="http://schemas.openxmlformats.org/officeDocument/2006/relationships/hyperlink" Target="https://www.sec.gov/Archives/edgar/data/100517/000010051723000186/ual_2023093010qex1030.htm" TargetMode="External"/><Relationship Id="rId210" Type="http://schemas.openxmlformats.org/officeDocument/2006/relationships/hyperlink" Target="https://www.sec.gov/Archives/edgar/data/100517/000010051723000186/ual_2023093010qex1031.htm" TargetMode="External"/><Relationship Id="rId211" Type="http://schemas.openxmlformats.org/officeDocument/2006/relationships/hyperlink" Target="https://www.sec.gov/Archives/edgar/data/100517/000010051723000186/ual_2023093010qex1032.htm" TargetMode="External"/><Relationship Id="rId212" Type="http://schemas.openxmlformats.org/officeDocument/2006/relationships/hyperlink" Target="https://www.sec.gov/Archives/edgar/data/100517/000010051721000055/ual_2021063010qex102.htm" TargetMode="External"/><Relationship Id="rId213" Type="http://schemas.openxmlformats.org/officeDocument/2006/relationships/hyperlink" Target="https://www.sec.gov/Archives/edgar/data/100517/000010051721000055/ual_2021063010qex103.htm" TargetMode="External"/><Relationship Id="rId214" Type="http://schemas.openxmlformats.org/officeDocument/2006/relationships/hyperlink" Target="https://www.sec.gov/Archives/edgar/data/100517/000010051721000055/ual_2021063010qex104.htm" TargetMode="External"/><Relationship Id="rId215" Type="http://schemas.openxmlformats.org/officeDocument/2006/relationships/hyperlink" Target="https://www.sec.gov/Archives/edgar/data/100517/000010051722000009/ual_12312110kex1073.htm" TargetMode="External"/><Relationship Id="rId216" Type="http://schemas.openxmlformats.org/officeDocument/2006/relationships/hyperlink" Target="https://www.sec.gov/Archives/edgar/data/100517/000010051724000027/ual_12312310kex1076.htm" TargetMode="External"/><Relationship Id="rId217" Type="http://schemas.openxmlformats.org/officeDocument/2006/relationships/hyperlink" Target="https://www.sec.gov/Archives/edgar/data/100517/000010051723000186/ual_2023093010qex1037.htm" TargetMode="External"/><Relationship Id="rId218" Type="http://schemas.openxmlformats.org/officeDocument/2006/relationships/hyperlink" Target="https://www.sec.gov/Archives/edgar/data/100517/000010051724000136/ual_2024093010qex101.htm" TargetMode="External"/><Relationship Id="rId219" Type="http://schemas.openxmlformats.org/officeDocument/2006/relationships/hyperlink" Target="https://www.sec.gov/Archives/edgar/data/100517/000010051725000091/ual_2025033110qex101.htm" TargetMode="External"/><Relationship Id="rId220" Type="http://schemas.openxmlformats.org/officeDocument/2006/relationships/hyperlink" Target="https://www.sec.gov/Archives/edgar/data/100517/000010051724000027/ual_12312310kex1078.htm" TargetMode="External"/><Relationship Id="rId221" Type="http://schemas.openxmlformats.org/officeDocument/2006/relationships/hyperlink" Target="https://www.sec.gov/Archives/edgar/data/100517/000010051721000055/ual_2021063010qex105.htm" TargetMode="External"/><Relationship Id="rId223" Type="http://schemas.openxmlformats.org/officeDocument/2006/relationships/hyperlink" Target="https://www.sec.gov/Archives/edgar/data/100517/000010051721000055/ual_2021063010qex106.htm" TargetMode="External"/><Relationship Id="rId224" Type="http://schemas.openxmlformats.org/officeDocument/2006/relationships/hyperlink" Target="https://www.sec.gov/Archives/edgar/data/100517/000010051721000055/ual_2021063010qex107.htm" TargetMode="External"/><Relationship Id="rId225" Type="http://schemas.openxmlformats.org/officeDocument/2006/relationships/hyperlink" Target="https://www.sec.gov/Archives/edgar/data/100517/000010051721000055/ual_2021063010qex108.htm" TargetMode="External"/><Relationship Id="rId226" Type="http://schemas.openxmlformats.org/officeDocument/2006/relationships/hyperlink" Target="https://www.sec.gov/Archives/edgar/data/100517/000010051721000055/ual_2021063010qex109.htm" TargetMode="External"/><Relationship Id="rId227" Type="http://schemas.openxmlformats.org/officeDocument/2006/relationships/hyperlink" Target="https://www.sec.gov/Archives/edgar/data/100517/000010051723000186/ual_2023093010qex1033.htm" TargetMode="External"/><Relationship Id="rId228" Type="http://schemas.openxmlformats.org/officeDocument/2006/relationships/hyperlink" Target="https://www.sec.gov/Archives/edgar/data/100517/000010051721000055/ual_2021063010qex1011.htm" TargetMode="External"/><Relationship Id="rId229" Type="http://schemas.openxmlformats.org/officeDocument/2006/relationships/hyperlink" Target="https://www.sec.gov/Archives/edgar/data/100517/000010051721000072/ual_2021093010qex103.htm" TargetMode="External"/><Relationship Id="rId230" Type="http://schemas.openxmlformats.org/officeDocument/2006/relationships/hyperlink" Target="https://www.sec.gov/Archives/edgar/data/100517/000010051721000072/ual_2021093010qex104.htm" TargetMode="External"/><Relationship Id="rId231" Type="http://schemas.openxmlformats.org/officeDocument/2006/relationships/hyperlink" Target="https://www.sec.gov/Archives/edgar/data/100517/000010051722000009/ual_12312110kex1083.htm" TargetMode="External"/><Relationship Id="rId232" Type="http://schemas.openxmlformats.org/officeDocument/2006/relationships/hyperlink" Target="https://www.sec.gov/Archives/edgar/data/100517/000010051722000047/ual_2022063010qex102.htm" TargetMode="External"/><Relationship Id="rId233" Type="http://schemas.openxmlformats.org/officeDocument/2006/relationships/hyperlink" Target="https://www.sec.gov/Archives/edgar/data/100517/000010051723000048/ual_12312210kex1090.htm" TargetMode="External"/><Relationship Id="rId234" Type="http://schemas.openxmlformats.org/officeDocument/2006/relationships/hyperlink" Target="https://www.sec.gov/Archives/edgar/data/100517/000010051723000048/ual_12312210kex1091.htm" TargetMode="External"/><Relationship Id="rId235" Type="http://schemas.openxmlformats.org/officeDocument/2006/relationships/hyperlink" Target="https://www.sec.gov/Archives/edgar/data/100517/000010051724000027/ual_12312310kex1092.htm" TargetMode="External"/><Relationship Id="rId236" Type="http://schemas.openxmlformats.org/officeDocument/2006/relationships/hyperlink" Target="https://www.sec.gov/Archives/edgar/data/100517/000010051723000048/ual_12312210kex1092.htm" TargetMode="External"/><Relationship Id="rId238" Type="http://schemas.openxmlformats.org/officeDocument/2006/relationships/hyperlink" Target="https://www.sec.gov/Archives/edgar/data/100517/000010051723000048/ual_12312210kex1093.htm" TargetMode="External"/><Relationship Id="rId239" Type="http://schemas.openxmlformats.org/officeDocument/2006/relationships/hyperlink" Target="https://www.sec.gov/Archives/edgar/data/100517/000010051723000048/ual_12312210kex1094.htm" TargetMode="External"/><Relationship Id="rId240" Type="http://schemas.openxmlformats.org/officeDocument/2006/relationships/hyperlink" Target="https://www.sec.gov/Archives/edgar/data/100517/000010051723000048/ual_12312210kex1095.htm" TargetMode="External"/><Relationship Id="rId241" Type="http://schemas.openxmlformats.org/officeDocument/2006/relationships/hyperlink" Target="https://www.sec.gov/Archives/edgar/data/100517/000010051723000048/ual_12312210kex1096.htm" TargetMode="External"/><Relationship Id="rId242" Type="http://schemas.openxmlformats.org/officeDocument/2006/relationships/hyperlink" Target="https://www.sec.gov/Archives/edgar/data/100517/000010051723000048/ual_12312210kex1097.htm" TargetMode="External"/><Relationship Id="rId243" Type="http://schemas.openxmlformats.org/officeDocument/2006/relationships/hyperlink" Target="https://www.sec.gov/Archives/edgar/data/100517/000010051723000048/ual_12312210kex1098.htm" TargetMode="External"/><Relationship Id="rId244" Type="http://schemas.openxmlformats.org/officeDocument/2006/relationships/hyperlink" Target="https://www.sec.gov/Archives/edgar/data/100517/000010051723000048/ual_12312210kex1099.htm" TargetMode="External"/><Relationship Id="rId245" Type="http://schemas.openxmlformats.org/officeDocument/2006/relationships/hyperlink" Target="https://www.sec.gov/Archives/edgar/data/100517/000010051723000048/ual_12312210kex10100.htm" TargetMode="External"/><Relationship Id="rId246" Type="http://schemas.openxmlformats.org/officeDocument/2006/relationships/hyperlink" Target="https://www.sec.gov/Archives/edgar/data/100517/000010051723000048/ual_12312210kex10101.htm" TargetMode="External"/><Relationship Id="rId247" Type="http://schemas.openxmlformats.org/officeDocument/2006/relationships/hyperlink" Target="https://www.sec.gov/Archives/edgar/data/100517/000010051723000048/ual_12312210kex10102.htm" TargetMode="External"/><Relationship Id="rId248" Type="http://schemas.openxmlformats.org/officeDocument/2006/relationships/hyperlink" Target="https://www.sec.gov/Archives/edgar/data/100517/000010051723000048/ual_12312210kex10103.htm" TargetMode="External"/><Relationship Id="rId249" Type="http://schemas.openxmlformats.org/officeDocument/2006/relationships/hyperlink" Target="https://www.sec.gov/Archives/edgar/data/100517/000010051723000048/ual_12312210kex10104.htm" TargetMode="External"/><Relationship Id="rId250" Type="http://schemas.openxmlformats.org/officeDocument/2006/relationships/hyperlink" Target="https://www.sec.gov/Archives/edgar/data/100517/000010051723000186/ual_2023093010qex1034.htm" TargetMode="External"/><Relationship Id="rId251" Type="http://schemas.openxmlformats.org/officeDocument/2006/relationships/hyperlink" Target="https://www.sec.gov/Archives/edgar/data/100517/000010051725000046/ual_12312410kex10107.htm" TargetMode="External"/><Relationship Id="rId253" Type="http://schemas.openxmlformats.org/officeDocument/2006/relationships/hyperlink" Target="https://www.sec.gov/Archives/edgar/data/100517/000010051723000048/ual_12312210kex10105.htm" TargetMode="External"/><Relationship Id="rId254" Type="http://schemas.openxmlformats.org/officeDocument/2006/relationships/hyperlink" Target="https://www.sec.gov/Archives/edgar/data/100517/000010051723000048/ual_12312210kex10106.htm" TargetMode="External"/><Relationship Id="rId255" Type="http://schemas.openxmlformats.org/officeDocument/2006/relationships/hyperlink" Target="https://www.sec.gov/Archives/edgar/data/100517/000010051723000186/ual_2023093010qex1035.htm" TargetMode="External"/><Relationship Id="rId256" Type="http://schemas.openxmlformats.org/officeDocument/2006/relationships/hyperlink" Target="https://www.sec.gov/Archives/edgar/data/100517/000010051725000046/ual_12312410kex10111.htm" TargetMode="External"/><Relationship Id="rId257" Type="http://schemas.openxmlformats.org/officeDocument/2006/relationships/hyperlink" Target="https://www.sec.gov/Archives/edgar/data/100517/000110465920050368/tm2016500d1_ex10-1.htm" TargetMode="External"/><Relationship Id="rId258" Type="http://schemas.openxmlformats.org/officeDocument/2006/relationships/hyperlink" Target="https://www.sec.gov/Archives/edgar/data/100517/000010051721000005/exhibit101payrollsupportpr.htm" TargetMode="External"/><Relationship Id="rId259" Type="http://schemas.openxmlformats.org/officeDocument/2006/relationships/hyperlink" Target="https://www.sec.gov/Archives/edgar/data/0000100517/000110465921053890/tm2112699d6_ex10-1.htm" TargetMode="External"/><Relationship Id="rId260" Type="http://schemas.openxmlformats.org/officeDocument/2006/relationships/hyperlink" Target="https://www.sec.gov/Archives/edgar/data/100517/000110465924026564/tm246340d1_ex10-2.htm" TargetMode="External"/><Relationship Id="rId261" Type="http://schemas.openxmlformats.org/officeDocument/2006/relationships/hyperlink" Target="https://www.sec.gov/Archives/edgar/data/0000100517/000110465921058988/tm2114651d1_ex10-1.htm" TargetMode="External"/><Relationship Id="rId263" Type="http://schemas.openxmlformats.org/officeDocument/2006/relationships/hyperlink" Target="https://www.sec.gov/Archives/edgar/data/100517/000110465924026564/tm246340d1_ex10-1.htm" TargetMode="External"/><Relationship Id="rId264" Type="http://schemas.openxmlformats.org/officeDocument/2006/relationships/hyperlink" Target="https://www.sec.gov/Archives/edgar/data/100517/000010051724000121/ual_2024063010qex104.htm" TargetMode="External"/><Relationship Id="rId265" Type="http://schemas.openxmlformats.org/officeDocument/2006/relationships/hyperlink" Target="https://www.sec.gov/Archives/edgar/data/100517/000010051724000121/ual_2024063010qex102.htm" TargetMode="External"/><Relationship Id="rId266" Type="http://schemas.openxmlformats.org/officeDocument/2006/relationships/hyperlink" Target="https://www.sec.gov/Archives/edgar/data/100517/000010051724000121/ual_2024063010qex103.htm" TargetMode="External"/><Relationship Id="rId268" Type="http://schemas.openxmlformats.org/officeDocument/2006/relationships/hyperlink" Target="https://www.sec.gov/Archives/edgar/data/100517/000010051724000027/ual_123123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2026-02-12T16:00:14Z</dcterms:created>
  <dcterms:modified xsi:type="dcterms:W3CDTF">2026-02-12T16:00:14Z</dcterms:modified>
</cp:coreProperties>
</file>