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3646d9_fwp.htm"/>
      <w:bookmarkStart w:id="1" w:name="kstm263646d9_fwp"/>
      <w:bookmarkEnd w:id="0"/>
      <w:bookmarkEnd w:id="1"/>
      <w:r>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Nos. 333-275664 and 333-275664-01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Airlines Holdings,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 4.875% Senior Notes due 2029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Supplement dated February 3, 2026 to the Preliminary Prospectus Supplement dated February 3, 2026 of United Airlines Holdings, Inc. (“UAL”) (the “Preliminary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Pricing Supplement is qualified in its entirety by reference to the Preliminary Prospectus Supplement. The information in this Pricing Supplement supplements the Preliminary Prospectus Supplement and supersedes the information in the Preliminary Prospectus Supplement to the extent inconsistent with the information in the Preliminary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terms used but not defined herein have the meanings assigned to such terms in the Preliminary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b/>
              </w:rPr>
            </w:pPr>
            <w:r>
              <w:rPr>
                <w:b/>
              </w:rPr>
              <w:t>Issuer:</w:t>
            </w:r>
          </w:p>
        </w:tc>
        <w:tc>
          <w:tcPr>
            <w:tcW w:w="8372" w:type="dxa"/>
            <w:tcBorders/>
            <w:vAlign w:val="center"/>
          </w:tcPr>
          <w:p>
            <w:pPr>
              <w:pStyle w:val="TableContents"/>
              <w:bidi w:val="0"/>
              <w:spacing w:before="0" w:after="283"/>
              <w:jc w:val="left"/>
              <w:rPr/>
            </w:pPr>
            <w:r>
              <w:rPr/>
              <w:t>United Airlines Holdings, Inc.</w:t>
            </w:r>
          </w:p>
        </w:tc>
      </w:tr>
      <w:tr>
        <w:trPr/>
        <w:tc>
          <w:tcPr>
            <w:tcW w:w="1833" w:type="dxa"/>
            <w:tcBorders/>
            <w:vAlign w:val="center"/>
          </w:tcPr>
          <w:p>
            <w:pPr>
              <w:pStyle w:val="TableContents"/>
              <w:bidi w:val="0"/>
              <w:spacing w:before="0" w:after="283"/>
              <w:jc w:val="left"/>
              <w:rPr>
                <w:b/>
              </w:rPr>
            </w:pPr>
            <w:r>
              <w:rPr>
                <w:b/>
              </w:rPr>
              <w:t>Guarantor:</w:t>
            </w:r>
          </w:p>
        </w:tc>
        <w:tc>
          <w:tcPr>
            <w:tcW w:w="8372" w:type="dxa"/>
            <w:tcBorders/>
            <w:vAlign w:val="center"/>
          </w:tcPr>
          <w:p>
            <w:pPr>
              <w:pStyle w:val="TableContents"/>
              <w:bidi w:val="0"/>
              <w:spacing w:before="0" w:after="283"/>
              <w:jc w:val="left"/>
              <w:rPr/>
            </w:pPr>
            <w:r>
              <w:rPr/>
              <w:t>United Airlines, Inc.</w:t>
            </w:r>
          </w:p>
        </w:tc>
      </w:tr>
      <w:tr>
        <w:trPr/>
        <w:tc>
          <w:tcPr>
            <w:tcW w:w="1833" w:type="dxa"/>
            <w:tcBorders/>
            <w:vAlign w:val="center"/>
          </w:tcPr>
          <w:p>
            <w:pPr>
              <w:pStyle w:val="TableContents"/>
              <w:bidi w:val="0"/>
              <w:spacing w:before="0" w:after="283"/>
              <w:jc w:val="left"/>
              <w:rPr>
                <w:b/>
              </w:rPr>
            </w:pPr>
            <w:r>
              <w:rPr>
                <w:b/>
              </w:rPr>
              <w:t>Aggregate Principal Amount:</w:t>
            </w:r>
          </w:p>
        </w:tc>
        <w:tc>
          <w:tcPr>
            <w:tcW w:w="8372" w:type="dxa"/>
            <w:tcBorders/>
            <w:vAlign w:val="center"/>
          </w:tcPr>
          <w:p>
            <w:pPr>
              <w:pStyle w:val="TableContents"/>
              <w:bidi w:val="0"/>
              <w:spacing w:before="0" w:after="283"/>
              <w:jc w:val="left"/>
              <w:rPr/>
            </w:pPr>
            <w:r>
              <w:rPr/>
              <w:t>$1,000,000,000</w:t>
            </w:r>
          </w:p>
        </w:tc>
      </w:tr>
      <w:tr>
        <w:trPr/>
        <w:tc>
          <w:tcPr>
            <w:tcW w:w="1833" w:type="dxa"/>
            <w:tcBorders/>
            <w:vAlign w:val="center"/>
          </w:tcPr>
          <w:p>
            <w:pPr>
              <w:pStyle w:val="TableContents"/>
              <w:bidi w:val="0"/>
              <w:spacing w:before="0" w:after="283"/>
              <w:jc w:val="left"/>
              <w:rPr>
                <w:b/>
              </w:rPr>
            </w:pPr>
            <w:r>
              <w:rPr>
                <w:b/>
              </w:rPr>
              <w:t>Title of Securities:</w:t>
            </w:r>
          </w:p>
        </w:tc>
        <w:tc>
          <w:tcPr>
            <w:tcW w:w="8372" w:type="dxa"/>
            <w:tcBorders/>
            <w:vAlign w:val="center"/>
          </w:tcPr>
          <w:p>
            <w:pPr>
              <w:pStyle w:val="TableContents"/>
              <w:bidi w:val="0"/>
              <w:spacing w:before="0" w:after="283"/>
              <w:jc w:val="left"/>
              <w:rPr/>
            </w:pPr>
            <w:r>
              <w:rPr/>
              <w:t>4.875% Senior Notes due 2029</w:t>
            </w:r>
          </w:p>
        </w:tc>
      </w:tr>
      <w:tr>
        <w:trPr/>
        <w:tc>
          <w:tcPr>
            <w:tcW w:w="1833" w:type="dxa"/>
            <w:tcBorders/>
            <w:vAlign w:val="center"/>
          </w:tcPr>
          <w:p>
            <w:pPr>
              <w:pStyle w:val="TableContents"/>
              <w:bidi w:val="0"/>
              <w:spacing w:before="0" w:after="283"/>
              <w:jc w:val="left"/>
              <w:rPr>
                <w:b/>
              </w:rPr>
            </w:pPr>
            <w:r>
              <w:rPr>
                <w:b/>
              </w:rPr>
              <w:t>Distribution:</w:t>
            </w:r>
          </w:p>
        </w:tc>
        <w:tc>
          <w:tcPr>
            <w:tcW w:w="8372" w:type="dxa"/>
            <w:tcBorders/>
            <w:vAlign w:val="center"/>
          </w:tcPr>
          <w:p>
            <w:pPr>
              <w:pStyle w:val="TableContents"/>
              <w:bidi w:val="0"/>
              <w:spacing w:before="0" w:after="283"/>
              <w:jc w:val="left"/>
              <w:rPr/>
            </w:pPr>
            <w:r>
              <w:rPr/>
              <w:t>SEC registered</w:t>
            </w:r>
          </w:p>
        </w:tc>
      </w:tr>
      <w:tr>
        <w:trPr/>
        <w:tc>
          <w:tcPr>
            <w:tcW w:w="1833" w:type="dxa"/>
            <w:tcBorders/>
            <w:vAlign w:val="center"/>
          </w:tcPr>
          <w:p>
            <w:pPr>
              <w:pStyle w:val="TableContents"/>
              <w:bidi w:val="0"/>
              <w:spacing w:before="0" w:after="283"/>
              <w:jc w:val="left"/>
              <w:rPr>
                <w:b/>
              </w:rPr>
            </w:pPr>
            <w:r>
              <w:rPr>
                <w:b/>
              </w:rPr>
              <w:t>Maturity:</w:t>
            </w:r>
          </w:p>
        </w:tc>
        <w:tc>
          <w:tcPr>
            <w:tcW w:w="8372" w:type="dxa"/>
            <w:tcBorders/>
            <w:vAlign w:val="center"/>
          </w:tcPr>
          <w:p>
            <w:pPr>
              <w:pStyle w:val="TableContents"/>
              <w:bidi w:val="0"/>
              <w:spacing w:before="0" w:after="283"/>
              <w:jc w:val="left"/>
              <w:rPr/>
            </w:pPr>
            <w:r>
              <w:rPr/>
              <w:t>March 1, 2029</w:t>
            </w:r>
          </w:p>
        </w:tc>
      </w:tr>
      <w:tr>
        <w:trPr/>
        <w:tc>
          <w:tcPr>
            <w:tcW w:w="1833" w:type="dxa"/>
            <w:tcBorders/>
            <w:vAlign w:val="center"/>
          </w:tcPr>
          <w:p>
            <w:pPr>
              <w:pStyle w:val="TableContents"/>
              <w:bidi w:val="0"/>
              <w:spacing w:before="0" w:after="283"/>
              <w:jc w:val="left"/>
              <w:rPr>
                <w:b/>
              </w:rPr>
            </w:pPr>
            <w:r>
              <w:rPr>
                <w:b/>
              </w:rPr>
              <w:t>Coupon:</w:t>
            </w:r>
          </w:p>
        </w:tc>
        <w:tc>
          <w:tcPr>
            <w:tcW w:w="8372" w:type="dxa"/>
            <w:tcBorders/>
            <w:vAlign w:val="center"/>
          </w:tcPr>
          <w:p>
            <w:pPr>
              <w:pStyle w:val="TableContents"/>
              <w:bidi w:val="0"/>
              <w:spacing w:before="0" w:after="283"/>
              <w:jc w:val="left"/>
              <w:rPr/>
            </w:pPr>
            <w:r>
              <w:rPr/>
              <w:t>4.875%</w:t>
            </w:r>
          </w:p>
        </w:tc>
      </w:tr>
      <w:tr>
        <w:trPr/>
        <w:tc>
          <w:tcPr>
            <w:tcW w:w="1833" w:type="dxa"/>
            <w:tcBorders/>
            <w:vAlign w:val="center"/>
          </w:tcPr>
          <w:p>
            <w:pPr>
              <w:pStyle w:val="TableContents"/>
              <w:bidi w:val="0"/>
              <w:spacing w:before="0" w:after="283"/>
              <w:jc w:val="left"/>
              <w:rPr>
                <w:b/>
              </w:rPr>
            </w:pPr>
            <w:r>
              <w:rPr>
                <w:b/>
              </w:rPr>
              <w:t>Public Offering Price:</w:t>
            </w:r>
          </w:p>
        </w:tc>
        <w:tc>
          <w:tcPr>
            <w:tcW w:w="8372" w:type="dxa"/>
            <w:tcBorders/>
            <w:vAlign w:val="center"/>
          </w:tcPr>
          <w:p>
            <w:pPr>
              <w:pStyle w:val="TableContents"/>
              <w:bidi w:val="0"/>
              <w:spacing w:before="0" w:after="283"/>
              <w:jc w:val="left"/>
              <w:rPr/>
            </w:pPr>
            <w:r>
              <w:rPr/>
              <w:t>100%</w:t>
            </w:r>
          </w:p>
        </w:tc>
      </w:tr>
      <w:tr>
        <w:trPr/>
        <w:tc>
          <w:tcPr>
            <w:tcW w:w="1833" w:type="dxa"/>
            <w:tcBorders/>
            <w:vAlign w:val="center"/>
          </w:tcPr>
          <w:p>
            <w:pPr>
              <w:pStyle w:val="TableContents"/>
              <w:bidi w:val="0"/>
              <w:spacing w:before="0" w:after="283"/>
              <w:jc w:val="left"/>
              <w:rPr>
                <w:b/>
              </w:rPr>
            </w:pPr>
            <w:r>
              <w:rPr>
                <w:b/>
              </w:rPr>
              <w:t>Yield to Maturity:</w:t>
            </w:r>
          </w:p>
        </w:tc>
        <w:tc>
          <w:tcPr>
            <w:tcW w:w="8372" w:type="dxa"/>
            <w:tcBorders/>
            <w:vAlign w:val="center"/>
          </w:tcPr>
          <w:p>
            <w:pPr>
              <w:pStyle w:val="TableContents"/>
              <w:bidi w:val="0"/>
              <w:spacing w:before="0" w:after="283"/>
              <w:jc w:val="left"/>
              <w:rPr/>
            </w:pPr>
            <w:r>
              <w:rPr/>
              <w:t>4.875%</w:t>
            </w:r>
          </w:p>
        </w:tc>
      </w:tr>
      <w:tr>
        <w:trPr/>
        <w:tc>
          <w:tcPr>
            <w:tcW w:w="1833" w:type="dxa"/>
            <w:tcBorders/>
            <w:vAlign w:val="center"/>
          </w:tcPr>
          <w:p>
            <w:pPr>
              <w:pStyle w:val="TableContents"/>
              <w:bidi w:val="0"/>
              <w:spacing w:before="0" w:after="283"/>
              <w:jc w:val="left"/>
              <w:rPr>
                <w:b/>
              </w:rPr>
            </w:pPr>
            <w:r>
              <w:rPr>
                <w:b/>
              </w:rPr>
              <w:t>Spread to Benchmark Treasury:</w:t>
            </w:r>
          </w:p>
        </w:tc>
        <w:tc>
          <w:tcPr>
            <w:tcW w:w="8372" w:type="dxa"/>
            <w:tcBorders/>
            <w:vAlign w:val="center"/>
          </w:tcPr>
          <w:p>
            <w:pPr>
              <w:pStyle w:val="TableContents"/>
              <w:bidi w:val="0"/>
              <w:spacing w:before="0" w:after="283"/>
              <w:jc w:val="left"/>
              <w:rPr/>
            </w:pPr>
            <w:r>
              <w:rPr/>
              <w:t>120 basis points</w:t>
            </w:r>
          </w:p>
        </w:tc>
      </w:tr>
      <w:tr>
        <w:trPr/>
        <w:tc>
          <w:tcPr>
            <w:tcW w:w="1833" w:type="dxa"/>
            <w:tcBorders/>
            <w:vAlign w:val="center"/>
          </w:tcPr>
          <w:p>
            <w:pPr>
              <w:pStyle w:val="TableContents"/>
              <w:bidi w:val="0"/>
              <w:spacing w:before="0" w:after="283"/>
              <w:jc w:val="left"/>
              <w:rPr>
                <w:b/>
              </w:rPr>
            </w:pPr>
            <w:r>
              <w:rPr>
                <w:b/>
              </w:rPr>
              <w:t>Benchmark Treasury:</w:t>
            </w:r>
          </w:p>
        </w:tc>
        <w:tc>
          <w:tcPr>
            <w:tcW w:w="8372" w:type="dxa"/>
            <w:tcBorders/>
            <w:vAlign w:val="center"/>
          </w:tcPr>
          <w:p>
            <w:pPr>
              <w:pStyle w:val="TableContents"/>
              <w:bidi w:val="0"/>
              <w:spacing w:before="0" w:after="283"/>
              <w:jc w:val="left"/>
              <w:rPr/>
            </w:pPr>
            <w:r>
              <w:rPr/>
              <w:t>UST 4.25% due February 28, 2029</w:t>
            </w:r>
          </w:p>
        </w:tc>
      </w:tr>
      <w:tr>
        <w:trPr/>
        <w:tc>
          <w:tcPr>
            <w:tcW w:w="1833" w:type="dxa"/>
            <w:tcBorders/>
            <w:vAlign w:val="center"/>
          </w:tcPr>
          <w:p>
            <w:pPr>
              <w:pStyle w:val="TableContents"/>
              <w:bidi w:val="0"/>
              <w:spacing w:before="0" w:after="283"/>
              <w:jc w:val="left"/>
              <w:rPr>
                <w:b/>
              </w:rPr>
            </w:pPr>
            <w:r>
              <w:rPr>
                <w:b/>
              </w:rPr>
              <w:t>Ratings*:</w:t>
            </w:r>
          </w:p>
        </w:tc>
        <w:tc>
          <w:tcPr>
            <w:tcW w:w="8372" w:type="dxa"/>
            <w:tcBorders/>
            <w:vAlign w:val="center"/>
          </w:tcPr>
          <w:p>
            <w:pPr>
              <w:pStyle w:val="TableContents"/>
              <w:bidi w:val="0"/>
              <w:spacing w:before="0" w:after="283"/>
              <w:jc w:val="left"/>
              <w:rPr/>
            </w:pPr>
            <w:r>
              <w:rPr/>
              <w:t>Moody’s: Ba2/ S&amp;P: BB+/ Fitch BB+</w:t>
            </w:r>
          </w:p>
        </w:tc>
      </w:tr>
      <w:tr>
        <w:trPr/>
        <w:tc>
          <w:tcPr>
            <w:tcW w:w="1833" w:type="dxa"/>
            <w:tcBorders/>
            <w:vAlign w:val="center"/>
          </w:tcPr>
          <w:p>
            <w:pPr>
              <w:pStyle w:val="TableContents"/>
              <w:bidi w:val="0"/>
              <w:spacing w:before="0" w:after="283"/>
              <w:jc w:val="left"/>
              <w:rPr>
                <w:b/>
              </w:rPr>
            </w:pPr>
            <w:r>
              <w:rPr>
                <w:b/>
              </w:rPr>
              <w:t>Underwriting Discounts and Commissions:</w:t>
            </w:r>
          </w:p>
        </w:tc>
        <w:tc>
          <w:tcPr>
            <w:tcW w:w="8372" w:type="dxa"/>
            <w:tcBorders/>
            <w:vAlign w:val="center"/>
          </w:tcPr>
          <w:p>
            <w:pPr>
              <w:pStyle w:val="TableContents"/>
              <w:bidi w:val="0"/>
              <w:spacing w:before="0" w:after="283"/>
              <w:jc w:val="left"/>
              <w:rPr/>
            </w:pPr>
            <w:r>
              <w:rPr/>
              <w:t>$7,500,000</w:t>
            </w:r>
          </w:p>
        </w:tc>
      </w:tr>
      <w:tr>
        <w:trPr/>
        <w:tc>
          <w:tcPr>
            <w:tcW w:w="1833" w:type="dxa"/>
            <w:tcBorders/>
            <w:vAlign w:val="center"/>
          </w:tcPr>
          <w:p>
            <w:pPr>
              <w:pStyle w:val="TableContents"/>
              <w:bidi w:val="0"/>
              <w:spacing w:before="0" w:after="283"/>
              <w:jc w:val="left"/>
              <w:rPr>
                <w:b/>
              </w:rPr>
            </w:pPr>
            <w:r>
              <w:rPr>
                <w:b/>
              </w:rPr>
              <w:t>Proceeds, Before Expenses, to UAL:</w:t>
            </w:r>
          </w:p>
        </w:tc>
        <w:tc>
          <w:tcPr>
            <w:tcW w:w="8372" w:type="dxa"/>
            <w:tcBorders/>
            <w:vAlign w:val="center"/>
          </w:tcPr>
          <w:p>
            <w:pPr>
              <w:pStyle w:val="TableContents"/>
              <w:bidi w:val="0"/>
              <w:spacing w:before="0" w:after="283"/>
              <w:jc w:val="left"/>
              <w:rPr/>
            </w:pPr>
            <w:r>
              <w:rPr/>
              <w:t>$992,500,000</w:t>
            </w:r>
          </w:p>
        </w:tc>
      </w:tr>
      <w:tr>
        <w:trPr/>
        <w:tc>
          <w:tcPr>
            <w:tcW w:w="1833" w:type="dxa"/>
            <w:tcBorders/>
            <w:vAlign w:val="center"/>
          </w:tcPr>
          <w:p>
            <w:pPr>
              <w:pStyle w:val="TableContents"/>
              <w:bidi w:val="0"/>
              <w:spacing w:before="0" w:after="283"/>
              <w:jc w:val="left"/>
              <w:rPr>
                <w:b/>
              </w:rPr>
            </w:pPr>
            <w:r>
              <w:rPr>
                <w:b/>
              </w:rPr>
              <w:t>Interest Payment Dates:</w:t>
            </w:r>
          </w:p>
        </w:tc>
        <w:tc>
          <w:tcPr>
            <w:tcW w:w="8372" w:type="dxa"/>
            <w:tcBorders/>
            <w:vAlign w:val="center"/>
          </w:tcPr>
          <w:p>
            <w:pPr>
              <w:pStyle w:val="TableContents"/>
              <w:bidi w:val="0"/>
              <w:spacing w:before="0" w:after="283"/>
              <w:jc w:val="left"/>
              <w:rPr/>
            </w:pPr>
            <w:r>
              <w:rPr/>
              <w:t>March 1 and September 1, commencing September 1, 2026</w:t>
            </w:r>
          </w:p>
        </w:tc>
      </w:tr>
      <w:tr>
        <w:trPr/>
        <w:tc>
          <w:tcPr>
            <w:tcW w:w="1833" w:type="dxa"/>
            <w:tcBorders/>
            <w:vAlign w:val="center"/>
          </w:tcPr>
          <w:p>
            <w:pPr>
              <w:pStyle w:val="TableContents"/>
              <w:bidi w:val="0"/>
              <w:spacing w:before="0" w:after="283"/>
              <w:jc w:val="left"/>
              <w:rPr>
                <w:b/>
              </w:rPr>
            </w:pPr>
            <w:r>
              <w:rPr>
                <w:b/>
              </w:rPr>
              <w:t>Optional Redemption:</w:t>
            </w:r>
          </w:p>
        </w:tc>
        <w:tc>
          <w:tcPr>
            <w:tcW w:w="837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December 1, 2028 (three months prior to maturity), the notes will be redeemable at the Issuer’s option, in whole or in part, at a redemption price equal to the greater of (1) 100% of the principal amount of the notes being redeemed and (2) a make-whole amount, if any, plus, in either case, accrued and unpaid interest to the redemption date. On or after December 1, 2028 (three months prior to maturity), the notes will be redeemable at the Issuer’s option, in whole or in part, at a redemption price of 100% of the principal amount of the notes being redeemed, plus accrued and unpaid interest thereon to the redemption date.</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998"/>
        <w:gridCol w:w="4207"/>
      </w:tblGrid>
      <w:tr>
        <w:trPr/>
        <w:tc>
          <w:tcPr>
            <w:tcW w:w="5998" w:type="dxa"/>
            <w:tcBorders/>
            <w:vAlign w:val="center"/>
          </w:tcPr>
          <w:p>
            <w:pPr>
              <w:pStyle w:val="TableContents"/>
              <w:bidi w:val="0"/>
              <w:spacing w:before="0" w:after="283"/>
              <w:jc w:val="left"/>
              <w:rPr>
                <w:b/>
              </w:rPr>
            </w:pPr>
            <w:r>
              <w:rPr>
                <w:b/>
              </w:rPr>
              <w:t>Underwriters:</w:t>
            </w:r>
          </w:p>
        </w:tc>
        <w:tc>
          <w:tcPr>
            <w:tcW w:w="4207" w:type="dxa"/>
            <w:tcBorders/>
            <w:vAlign w:val="center"/>
          </w:tcPr>
          <w:p>
            <w:pPr>
              <w:pStyle w:val="TableContents"/>
              <w:bidi w:val="0"/>
              <w:spacing w:before="0" w:after="283"/>
              <w:jc w:val="left"/>
              <w:rPr>
                <w:u w:val="single"/>
              </w:rPr>
            </w:pPr>
            <w:r>
              <w:rPr>
                <w:u w:val="single"/>
              </w:rPr>
              <w:t>Principal Amount of Notes</w:t>
            </w:r>
          </w:p>
        </w:tc>
      </w:tr>
      <w:tr>
        <w:trPr/>
        <w:tc>
          <w:tcPr>
            <w:tcW w:w="5998" w:type="dxa"/>
            <w:tcBorders/>
            <w:vAlign w:val="center"/>
          </w:tcPr>
          <w:p>
            <w:pPr>
              <w:pStyle w:val="TableContents"/>
              <w:bidi w:val="0"/>
              <w:spacing w:before="0" w:after="283"/>
              <w:jc w:val="left"/>
              <w:rPr/>
            </w:pPr>
            <w:r>
              <w:rPr/>
              <w:t>Barclays Capital Inc.*</w:t>
            </w:r>
          </w:p>
        </w:tc>
        <w:tc>
          <w:tcPr>
            <w:tcW w:w="4207" w:type="dxa"/>
            <w:tcBorders/>
            <w:vAlign w:val="center"/>
          </w:tcPr>
          <w:p>
            <w:pPr>
              <w:pStyle w:val="TableContents"/>
              <w:bidi w:val="0"/>
              <w:spacing w:before="0" w:after="283"/>
              <w:jc w:val="left"/>
              <w:rPr/>
            </w:pPr>
            <w:r>
              <w:rPr/>
              <w:t xml:space="preserve">$333,333,000 </w:t>
            </w:r>
          </w:p>
        </w:tc>
      </w:tr>
      <w:tr>
        <w:trPr/>
        <w:tc>
          <w:tcPr>
            <w:tcW w:w="5998" w:type="dxa"/>
            <w:tcBorders/>
            <w:vAlign w:val="center"/>
          </w:tcPr>
          <w:p>
            <w:pPr>
              <w:pStyle w:val="TableContents"/>
              <w:bidi w:val="0"/>
              <w:spacing w:before="0" w:after="283"/>
              <w:jc w:val="left"/>
              <w:rPr/>
            </w:pPr>
            <w:r>
              <w:rPr/>
              <w:t>BofA Securities, Inc.*</w:t>
            </w:r>
          </w:p>
        </w:tc>
        <w:tc>
          <w:tcPr>
            <w:tcW w:w="4207" w:type="dxa"/>
            <w:tcBorders/>
            <w:vAlign w:val="center"/>
          </w:tcPr>
          <w:p>
            <w:pPr>
              <w:pStyle w:val="TableContents"/>
              <w:bidi w:val="0"/>
              <w:spacing w:before="0" w:after="283"/>
              <w:jc w:val="left"/>
              <w:rPr/>
            </w:pPr>
            <w:r>
              <w:rPr/>
              <w:t xml:space="preserve">$333,333,000 </w:t>
            </w:r>
          </w:p>
        </w:tc>
      </w:tr>
      <w:tr>
        <w:trPr/>
        <w:tc>
          <w:tcPr>
            <w:tcW w:w="5998" w:type="dxa"/>
            <w:tcBorders/>
            <w:vAlign w:val="center"/>
          </w:tcPr>
          <w:p>
            <w:pPr>
              <w:pStyle w:val="TableContents"/>
              <w:bidi w:val="0"/>
              <w:spacing w:before="0" w:after="283"/>
              <w:jc w:val="left"/>
              <w:rPr/>
            </w:pPr>
            <w:r>
              <w:rPr/>
              <w:t>BNP Paribas Securities Corp.</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Citigroup Global Markets Inc.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Credit Agricole Securities (USA) Inc.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Deutsche Bank Securities Inc.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Goldman Sachs &amp; Co. LLC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J.P. Morgan Securities LLC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Mizuho Securities USA LLC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Morgan Stanley &amp; Co. LLC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MUFG Securities Americas Inc.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Natixis Securities Americas LLC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NatWest Markets Securities Inc.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SMBC Nikko Securities America, Inc.</w:t>
            </w:r>
          </w:p>
        </w:tc>
        <w:tc>
          <w:tcPr>
            <w:tcW w:w="4207" w:type="dxa"/>
            <w:tcBorders/>
            <w:vAlign w:val="center"/>
          </w:tcPr>
          <w:p>
            <w:pPr>
              <w:pStyle w:val="TableContents"/>
              <w:bidi w:val="0"/>
              <w:spacing w:before="0" w:after="283"/>
              <w:jc w:val="left"/>
              <w:rPr/>
            </w:pPr>
            <w:r>
              <w:rPr/>
              <w:t xml:space="preserve">$25,641,000 </w:t>
            </w:r>
          </w:p>
        </w:tc>
      </w:tr>
      <w:tr>
        <w:trPr/>
        <w:tc>
          <w:tcPr>
            <w:tcW w:w="5998" w:type="dxa"/>
            <w:tcBorders/>
            <w:vAlign w:val="center"/>
          </w:tcPr>
          <w:p>
            <w:pPr>
              <w:pStyle w:val="TableContents"/>
              <w:bidi w:val="0"/>
              <w:spacing w:before="0" w:after="283"/>
              <w:jc w:val="left"/>
              <w:rPr/>
            </w:pPr>
            <w:r>
              <w:rPr/>
              <w:t>Loop Capital Markets LLC</w:t>
            </w:r>
          </w:p>
        </w:tc>
        <w:tc>
          <w:tcPr>
            <w:tcW w:w="4207" w:type="dxa"/>
            <w:tcBorders/>
            <w:vAlign w:val="center"/>
          </w:tcPr>
          <w:p>
            <w:pPr>
              <w:pStyle w:val="TableContents"/>
              <w:bidi w:val="0"/>
              <w:spacing w:before="0" w:after="283"/>
              <w:jc w:val="left"/>
              <w:rPr/>
            </w:pPr>
            <w:r>
              <w:rPr/>
              <w:t>$12,822,000</w:t>
            </w:r>
          </w:p>
        </w:tc>
      </w:tr>
      <w:tr>
        <w:trPr/>
        <w:tc>
          <w:tcPr>
            <w:tcW w:w="5998" w:type="dxa"/>
            <w:tcBorders/>
            <w:vAlign w:val="center"/>
          </w:tcPr>
          <w:p>
            <w:pPr>
              <w:pStyle w:val="TableContents"/>
              <w:bidi w:val="0"/>
              <w:spacing w:before="0" w:after="283"/>
              <w:jc w:val="left"/>
              <w:rPr/>
            </w:pPr>
            <w:r>
              <w:rPr/>
              <w:t>ING Financial Markets LLC</w:t>
            </w:r>
          </w:p>
        </w:tc>
        <w:tc>
          <w:tcPr>
            <w:tcW w:w="4207" w:type="dxa"/>
            <w:tcBorders/>
            <w:vAlign w:val="center"/>
          </w:tcPr>
          <w:p>
            <w:pPr>
              <w:pStyle w:val="TableContents"/>
              <w:bidi w:val="0"/>
              <w:spacing w:before="0" w:after="283"/>
              <w:jc w:val="left"/>
              <w:rPr/>
            </w:pPr>
            <w:r>
              <w:rPr/>
              <w:t xml:space="preserve">$6,410,000 </w:t>
            </w:r>
          </w:p>
        </w:tc>
      </w:tr>
      <w:tr>
        <w:trPr/>
        <w:tc>
          <w:tcPr>
            <w:tcW w:w="5998" w:type="dxa"/>
            <w:tcBorders/>
            <w:vAlign w:val="center"/>
          </w:tcPr>
          <w:p>
            <w:pPr>
              <w:pStyle w:val="TableContents"/>
              <w:bidi w:val="0"/>
              <w:spacing w:before="0" w:after="283"/>
              <w:jc w:val="left"/>
              <w:rPr/>
            </w:pPr>
            <w:r>
              <w:rPr/>
              <w:t>Raymond James &amp; Associates, Inc.</w:t>
            </w:r>
          </w:p>
        </w:tc>
        <w:tc>
          <w:tcPr>
            <w:tcW w:w="4207" w:type="dxa"/>
            <w:tcBorders/>
            <w:vAlign w:val="center"/>
          </w:tcPr>
          <w:p>
            <w:pPr>
              <w:pStyle w:val="TableContents"/>
              <w:bidi w:val="0"/>
              <w:spacing w:before="0" w:after="283"/>
              <w:jc w:val="left"/>
              <w:rPr/>
            </w:pPr>
            <w:r>
              <w:rPr/>
              <w:t xml:space="preserve">$6,410,000 </w:t>
            </w:r>
          </w:p>
        </w:tc>
      </w:tr>
      <w:tr>
        <w:trPr/>
        <w:tc>
          <w:tcPr>
            <w:tcW w:w="10205" w:type="dxa"/>
            <w:gridSpan w:val="2"/>
            <w:tcBorders/>
            <w:vAlign w:val="center"/>
          </w:tcPr>
          <w:p>
            <w:pPr>
              <w:pStyle w:val="TableContents"/>
              <w:bidi w:val="0"/>
              <w:spacing w:before="0" w:after="283"/>
              <w:jc w:val="left"/>
              <w:rPr/>
            </w:pPr>
            <w:r>
              <w:rPr/>
              <w:t xml:space="preserve">* Will act as Representative for the Underwriters and appropriate changes will be made to the Underwriting section of the Prospectus Supplement. </w:t>
            </w:r>
          </w:p>
        </w:tc>
      </w:tr>
      <w:tr>
        <w:trPr/>
        <w:tc>
          <w:tcPr>
            <w:tcW w:w="5998" w:type="dxa"/>
            <w:tcBorders/>
            <w:vAlign w:val="center"/>
          </w:tcPr>
          <w:p>
            <w:pPr>
              <w:pStyle w:val="TableContents"/>
              <w:bidi w:val="0"/>
              <w:spacing w:before="0" w:after="283"/>
              <w:jc w:val="left"/>
              <w:rPr/>
            </w:pPr>
            <w:r>
              <w:rPr/>
              <w:t> </w:t>
            </w:r>
          </w:p>
        </w:tc>
        <w:tc>
          <w:tcPr>
            <w:tcW w:w="4207" w:type="dxa"/>
            <w:tcBorders/>
            <w:vAlign w:val="center"/>
          </w:tcPr>
          <w:p>
            <w:pPr>
              <w:pStyle w:val="TableContents"/>
              <w:bidi w:val="0"/>
              <w:spacing w:before="0" w:after="283"/>
              <w:jc w:val="left"/>
              <w:rPr/>
            </w:pPr>
            <w:r>
              <w:rPr/>
              <w:t> </w:t>
            </w:r>
          </w:p>
        </w:tc>
      </w:tr>
      <w:tr>
        <w:trPr/>
        <w:tc>
          <w:tcPr>
            <w:tcW w:w="5998" w:type="dxa"/>
            <w:tcBorders/>
            <w:vAlign w:val="center"/>
          </w:tcPr>
          <w:p>
            <w:pPr>
              <w:pStyle w:val="TableContents"/>
              <w:bidi w:val="0"/>
              <w:spacing w:before="0" w:after="283"/>
              <w:jc w:val="left"/>
              <w:rPr/>
            </w:pPr>
            <w:r>
              <w:rPr/>
              <w:t xml:space="preserve">Trade Date: </w:t>
            </w:r>
          </w:p>
        </w:tc>
        <w:tc>
          <w:tcPr>
            <w:tcW w:w="4207" w:type="dxa"/>
            <w:tcBorders/>
            <w:vAlign w:val="center"/>
          </w:tcPr>
          <w:p>
            <w:pPr>
              <w:pStyle w:val="TableContents"/>
              <w:bidi w:val="0"/>
              <w:spacing w:before="0" w:after="283"/>
              <w:jc w:val="left"/>
              <w:rPr/>
            </w:pPr>
            <w:r>
              <w:rPr/>
              <w:t>February 3, 2026</w:t>
            </w:r>
          </w:p>
        </w:tc>
      </w:tr>
      <w:tr>
        <w:trPr/>
        <w:tc>
          <w:tcPr>
            <w:tcW w:w="5998" w:type="dxa"/>
            <w:tcBorders/>
            <w:vAlign w:val="center"/>
          </w:tcPr>
          <w:p>
            <w:pPr>
              <w:pStyle w:val="TableContents"/>
              <w:bidi w:val="0"/>
              <w:spacing w:before="0" w:after="283"/>
              <w:jc w:val="left"/>
              <w:rPr/>
            </w:pPr>
            <w:r>
              <w:rPr/>
              <w:t>Settlement Date†:</w:t>
            </w:r>
          </w:p>
        </w:tc>
        <w:tc>
          <w:tcPr>
            <w:tcW w:w="4207" w:type="dxa"/>
            <w:tcBorders/>
            <w:vAlign w:val="center"/>
          </w:tcPr>
          <w:p>
            <w:pPr>
              <w:pStyle w:val="TableContents"/>
              <w:bidi w:val="0"/>
              <w:spacing w:before="0" w:after="283"/>
              <w:jc w:val="left"/>
              <w:rPr/>
            </w:pPr>
            <w:r>
              <w:rPr/>
              <w:t>February 6, 2026 (T+3)</w:t>
            </w:r>
          </w:p>
        </w:tc>
      </w:tr>
      <w:tr>
        <w:trPr/>
        <w:tc>
          <w:tcPr>
            <w:tcW w:w="5998" w:type="dxa"/>
            <w:tcBorders/>
            <w:vAlign w:val="center"/>
          </w:tcPr>
          <w:p>
            <w:pPr>
              <w:pStyle w:val="TableContents"/>
              <w:bidi w:val="0"/>
              <w:spacing w:before="0" w:after="283"/>
              <w:jc w:val="left"/>
              <w:rPr/>
            </w:pPr>
            <w:r>
              <w:rPr/>
              <w:t>CUSIP:</w:t>
            </w:r>
          </w:p>
        </w:tc>
        <w:tc>
          <w:tcPr>
            <w:tcW w:w="4207" w:type="dxa"/>
            <w:tcBorders/>
            <w:vAlign w:val="center"/>
          </w:tcPr>
          <w:p>
            <w:pPr>
              <w:pStyle w:val="TableContents"/>
              <w:bidi w:val="0"/>
              <w:spacing w:before="0" w:after="283"/>
              <w:jc w:val="left"/>
              <w:rPr/>
            </w:pPr>
            <w:r>
              <w:rPr/>
              <w:t>910047 AM1</w:t>
            </w:r>
          </w:p>
        </w:tc>
      </w:tr>
      <w:tr>
        <w:trPr/>
        <w:tc>
          <w:tcPr>
            <w:tcW w:w="5998" w:type="dxa"/>
            <w:tcBorders/>
            <w:vAlign w:val="center"/>
          </w:tcPr>
          <w:p>
            <w:pPr>
              <w:pStyle w:val="TableContents"/>
              <w:bidi w:val="0"/>
              <w:spacing w:before="0" w:after="283"/>
              <w:jc w:val="left"/>
              <w:rPr/>
            </w:pPr>
            <w:r>
              <w:rPr/>
              <w:t>ISIN:</w:t>
            </w:r>
          </w:p>
        </w:tc>
        <w:tc>
          <w:tcPr>
            <w:tcW w:w="4207" w:type="dxa"/>
            <w:tcBorders/>
            <w:vAlign w:val="center"/>
          </w:tcPr>
          <w:p>
            <w:pPr>
              <w:pStyle w:val="TableContents"/>
              <w:bidi w:val="0"/>
              <w:spacing w:before="0" w:after="283"/>
              <w:jc w:val="left"/>
              <w:rPr/>
            </w:pPr>
            <w:r>
              <w:rPr/>
              <w:t>US910047AM17</w:t>
            </w:r>
          </w:p>
        </w:tc>
      </w:tr>
      <w:tr>
        <w:trPr/>
        <w:tc>
          <w:tcPr>
            <w:tcW w:w="5998" w:type="dxa"/>
            <w:tcBorders/>
            <w:vAlign w:val="center"/>
          </w:tcPr>
          <w:p>
            <w:pPr>
              <w:pStyle w:val="TableContents"/>
              <w:bidi w:val="0"/>
              <w:spacing w:before="0" w:after="283"/>
              <w:jc w:val="left"/>
              <w:rPr/>
            </w:pPr>
            <w:r>
              <w:rPr/>
              <w:t>Denominations:</w:t>
            </w:r>
          </w:p>
        </w:tc>
        <w:tc>
          <w:tcPr>
            <w:tcW w:w="4207" w:type="dxa"/>
            <w:tcBorders/>
            <w:vAlign w:val="center"/>
          </w:tcPr>
          <w:p>
            <w:pPr>
              <w:pStyle w:val="TableContents"/>
              <w:bidi w:val="0"/>
              <w:spacing w:before="0" w:after="283"/>
              <w:jc w:val="left"/>
              <w:rPr/>
            </w:pPr>
            <w:r>
              <w:rPr/>
              <w:t>$2,000 x $1,000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It is expected that delivery of the Notes will be made against payment therefor on or about February 6, 2026, which will be the third business day following the date hereof (this settlement cycle being referred to as T+3). Under Rule 15c6-1 of the SEC under the Exchange Act, trades in the secondary market generally are required to settle in one business day, unless the parties to the trade expressly agree otherwise. Accordingly, purchasers who wish to trade the Notes prior to the initial T+3 settlement may be required, by virtue of the fact that the Notes initially will settle on a delayed basis, to specify an alternate settlement cycle at the time of any trade to prevent a failed settlement, and such purchasers should consult their own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Barclays toll-free at +1 (888) 603-5847.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4258</Characters>
  <CharactersWithSpaces>4961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