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84913.xml.htm"/>
      <w:bookmarkStart w:id="1" w:name="kswkform4_17852849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Leskinen Michael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66100 HDQLD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UAL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7"/>
        <w:gridCol w:w="900"/>
        <w:gridCol w:w="771"/>
        <w:gridCol w:w="597"/>
        <w:gridCol w:w="342"/>
        <w:gridCol w:w="915"/>
        <w:gridCol w:w="439"/>
        <w:gridCol w:w="833"/>
        <w:gridCol w:w="1136"/>
        <w:gridCol w:w="977"/>
        <w:gridCol w:w="106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17,837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65,337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7,901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118.27</w:t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57,436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UAL common stock acquired upon the settlement of performance-based restricted stock units ("PB RSUs") granted to the reporting person in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represents the withholding of shares to pay tax withholding obligations associated with the settlement of the PB RSU awards referenced in footnote 1, above.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held in an account by the reporting person's mother over which the reporting person holds a power of attorney.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Cotton for Michael D. Leskinen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4659" TargetMode="External"/><Relationship Id="rId5" Type="http://schemas.openxmlformats.org/officeDocument/2006/relationships/hyperlink" Target="http://www.sec.gov/cgi-bin/browse-edgar?action=getcompany&amp;CIK=00001005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3571</Characters>
  <CharactersWithSpaces>4148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